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AF8" w:rsidRDefault="0064270A">
      <w:pPr>
        <w:pStyle w:val="Title"/>
        <w:rPr>
          <w:caps/>
          <w:sz w:val="40"/>
        </w:rPr>
      </w:pPr>
      <w:r>
        <w:rPr>
          <w:sz w:val="40"/>
        </w:rPr>
        <w:t xml:space="preserve">CCUF Management Group Meeting </w:t>
      </w:r>
      <w:r w:rsidR="0082445B">
        <w:rPr>
          <w:sz w:val="40"/>
        </w:rPr>
        <w:t>–</w:t>
      </w:r>
      <w:r>
        <w:rPr>
          <w:sz w:val="40"/>
        </w:rPr>
        <w:t xml:space="preserve"> </w:t>
      </w:r>
      <w:r w:rsidR="001665A8">
        <w:rPr>
          <w:sz w:val="40"/>
        </w:rPr>
        <w:t>March 22</w:t>
      </w:r>
      <w:r w:rsidR="00436CE2">
        <w:rPr>
          <w:sz w:val="40"/>
        </w:rPr>
        <w:t>, 2017</w:t>
      </w:r>
    </w:p>
    <w:p w:rsidR="00322AF8" w:rsidRDefault="0064270A">
      <w:pPr>
        <w:pStyle w:val="Heading1"/>
        <w:rPr>
          <w:sz w:val="28"/>
        </w:rPr>
      </w:pPr>
      <w:r>
        <w:rPr>
          <w:sz w:val="28"/>
        </w:rPr>
        <w:t>Attendees:</w:t>
      </w:r>
    </w:p>
    <w:p w:rsidR="00322AF8" w:rsidRDefault="0064270A">
      <w:r>
        <w:t xml:space="preserve"> </w:t>
      </w:r>
      <w:r>
        <w:tab/>
      </w:r>
    </w:p>
    <w:p w:rsidR="0082445B" w:rsidRDefault="00C84DE9" w:rsidP="00AD342C">
      <w:pPr>
        <w:pStyle w:val="ListParagraph"/>
        <w:numPr>
          <w:ilvl w:val="0"/>
          <w:numId w:val="6"/>
        </w:numPr>
      </w:pPr>
      <w:r>
        <w:t>*</w:t>
      </w:r>
      <w:r w:rsidR="0082445B">
        <w:t xml:space="preserve">Alicia Squires </w:t>
      </w:r>
      <w:r w:rsidR="00904A4A">
        <w:t>–</w:t>
      </w:r>
      <w:r w:rsidR="0082445B">
        <w:t xml:space="preserve"> Cisco</w:t>
      </w:r>
    </w:p>
    <w:p w:rsidR="00322AF8" w:rsidRDefault="00444C30" w:rsidP="00AD342C">
      <w:pPr>
        <w:pStyle w:val="ListParagraph"/>
        <w:numPr>
          <w:ilvl w:val="0"/>
          <w:numId w:val="4"/>
        </w:numPr>
      </w:pPr>
      <w:r>
        <w:t>*</w:t>
      </w:r>
      <w:r w:rsidR="0082445B">
        <w:t xml:space="preserve">Lachlan Turner – </w:t>
      </w:r>
      <w:proofErr w:type="spellStart"/>
      <w:r w:rsidR="0082445B">
        <w:t>ArkInfosec</w:t>
      </w:r>
      <w:proofErr w:type="spellEnd"/>
    </w:p>
    <w:p w:rsidR="00322AF8" w:rsidRDefault="00C84DE9" w:rsidP="00AD342C">
      <w:pPr>
        <w:pStyle w:val="ListParagraph"/>
        <w:numPr>
          <w:ilvl w:val="0"/>
          <w:numId w:val="4"/>
        </w:numPr>
      </w:pPr>
      <w:r>
        <w:t>*</w:t>
      </w:r>
      <w:r w:rsidR="0064270A">
        <w:t xml:space="preserve">Matt Keller </w:t>
      </w:r>
      <w:r w:rsidR="0064270A">
        <w:noBreakHyphen/>
        <w:t xml:space="preserve"> </w:t>
      </w:r>
      <w:proofErr w:type="spellStart"/>
      <w:r w:rsidR="0064270A">
        <w:t>Corsec</w:t>
      </w:r>
      <w:proofErr w:type="spellEnd"/>
      <w:r w:rsidR="0064270A">
        <w:t xml:space="preserve"> </w:t>
      </w:r>
    </w:p>
    <w:p w:rsidR="0082445B" w:rsidRDefault="00444C30" w:rsidP="00AD342C">
      <w:pPr>
        <w:pStyle w:val="ListParagraph"/>
        <w:numPr>
          <w:ilvl w:val="0"/>
          <w:numId w:val="4"/>
        </w:numPr>
      </w:pPr>
      <w:r>
        <w:t>*</w:t>
      </w:r>
      <w:r w:rsidR="0082445B">
        <w:t xml:space="preserve">Michael Vogel </w:t>
      </w:r>
      <w:r w:rsidR="0082445B">
        <w:noBreakHyphen/>
        <w:t xml:space="preserve"> Huawei </w:t>
      </w:r>
    </w:p>
    <w:p w:rsidR="00322AF8" w:rsidRDefault="0064270A" w:rsidP="00AD342C">
      <w:pPr>
        <w:pStyle w:val="ListParagraph"/>
        <w:numPr>
          <w:ilvl w:val="0"/>
          <w:numId w:val="4"/>
        </w:numPr>
      </w:pPr>
      <w:r>
        <w:t xml:space="preserve">Miguel Bañón </w:t>
      </w:r>
      <w:r>
        <w:noBreakHyphen/>
        <w:t xml:space="preserve"> Epoche &amp; Espri  </w:t>
      </w:r>
    </w:p>
    <w:p w:rsidR="00322AF8" w:rsidRDefault="00C84DE9" w:rsidP="00AD342C">
      <w:pPr>
        <w:pStyle w:val="ListParagraph"/>
        <w:numPr>
          <w:ilvl w:val="0"/>
          <w:numId w:val="4"/>
        </w:numPr>
      </w:pPr>
      <w:r>
        <w:t>*</w:t>
      </w:r>
      <w:r w:rsidR="0064270A">
        <w:t xml:space="preserve">Mike Grimm </w:t>
      </w:r>
      <w:r w:rsidR="0064270A">
        <w:noBreakHyphen/>
        <w:t xml:space="preserve"> Microsoft </w:t>
      </w:r>
    </w:p>
    <w:p w:rsidR="00322AF8" w:rsidRDefault="00C84DE9" w:rsidP="00AD342C">
      <w:pPr>
        <w:pStyle w:val="ListParagraph"/>
        <w:numPr>
          <w:ilvl w:val="0"/>
          <w:numId w:val="4"/>
        </w:numPr>
      </w:pPr>
      <w:r>
        <w:t>*</w:t>
      </w:r>
      <w:r w:rsidR="0064270A">
        <w:t xml:space="preserve">Petra Manche </w:t>
      </w:r>
      <w:r w:rsidR="0064270A">
        <w:noBreakHyphen/>
        <w:t xml:space="preserve"> Oracle </w:t>
      </w:r>
    </w:p>
    <w:p w:rsidR="00322AF8" w:rsidRDefault="00C84DE9" w:rsidP="00AD342C">
      <w:pPr>
        <w:pStyle w:val="ListParagraph"/>
        <w:numPr>
          <w:ilvl w:val="0"/>
          <w:numId w:val="4"/>
        </w:numPr>
      </w:pPr>
      <w:r>
        <w:t>*</w:t>
      </w:r>
      <w:r w:rsidR="00AB40D6">
        <w:t xml:space="preserve">David Martin </w:t>
      </w:r>
      <w:r w:rsidR="00AD4D24">
        <w:t>–</w:t>
      </w:r>
      <w:r w:rsidR="00AB40D6">
        <w:t xml:space="preserve"> </w:t>
      </w:r>
      <w:r w:rsidR="00AB40D6" w:rsidRPr="00AB40D6">
        <w:rPr>
          <w:strike/>
        </w:rPr>
        <w:t>CESG</w:t>
      </w:r>
      <w:r w:rsidR="00AD4D24" w:rsidRPr="00AD4D24">
        <w:t xml:space="preserve"> NCSC</w:t>
      </w:r>
    </w:p>
    <w:p w:rsidR="001665A8" w:rsidRDefault="001665A8" w:rsidP="001665A8">
      <w:pPr>
        <w:pStyle w:val="Heading1"/>
      </w:pPr>
      <w:r>
        <w:t>March</w:t>
      </w:r>
      <w:r>
        <w:t xml:space="preserve"> Agenda:</w:t>
      </w:r>
    </w:p>
    <w:p w:rsidR="001665A8" w:rsidRDefault="001665A8" w:rsidP="001665A8">
      <w:pPr>
        <w:pStyle w:val="ListParagraph"/>
        <w:numPr>
          <w:ilvl w:val="0"/>
          <w:numId w:val="10"/>
        </w:numPr>
      </w:pPr>
      <w:r>
        <w:t>Inactive accounts [Michael, Alicia, Petra]</w:t>
      </w:r>
    </w:p>
    <w:p w:rsidR="001665A8" w:rsidRDefault="001665A8" w:rsidP="001665A8">
      <w:pPr>
        <w:pStyle w:val="ListParagraph"/>
        <w:numPr>
          <w:ilvl w:val="1"/>
          <w:numId w:val="10"/>
        </w:numPr>
      </w:pPr>
      <w:r>
        <w:t>Have plan to inform users [done]</w:t>
      </w:r>
    </w:p>
    <w:p w:rsidR="001665A8" w:rsidRDefault="001665A8" w:rsidP="001665A8">
      <w:pPr>
        <w:pStyle w:val="ListParagraph"/>
        <w:numPr>
          <w:ilvl w:val="1"/>
          <w:numId w:val="10"/>
        </w:numPr>
      </w:pPr>
      <w:r>
        <w:t>Announcement posted [done]</w:t>
      </w:r>
    </w:p>
    <w:p w:rsidR="001665A8" w:rsidRDefault="001665A8" w:rsidP="001665A8">
      <w:pPr>
        <w:pStyle w:val="ListParagraph"/>
        <w:numPr>
          <w:ilvl w:val="1"/>
          <w:numId w:val="10"/>
        </w:numPr>
      </w:pPr>
      <w:r>
        <w:t>Next steps</w:t>
      </w:r>
    </w:p>
    <w:p w:rsidR="001665A8" w:rsidRDefault="001665A8" w:rsidP="001665A8">
      <w:pPr>
        <w:pStyle w:val="ListParagraph"/>
        <w:numPr>
          <w:ilvl w:val="2"/>
          <w:numId w:val="10"/>
        </w:numPr>
      </w:pPr>
      <w:r>
        <w:t>Emails sent on Feb 15; have already ¼ responses already (yes, no, non-delivered mail)</w:t>
      </w:r>
      <w:r w:rsidR="00C84DE9">
        <w:t xml:space="preserve"> [done]</w:t>
      </w:r>
    </w:p>
    <w:p w:rsidR="001665A8" w:rsidRDefault="001665A8" w:rsidP="001665A8">
      <w:pPr>
        <w:pStyle w:val="ListParagraph"/>
        <w:numPr>
          <w:ilvl w:val="2"/>
          <w:numId w:val="10"/>
        </w:numPr>
      </w:pPr>
      <w:r>
        <w:t>Will send reminders on March 3</w:t>
      </w:r>
      <w:r w:rsidR="00927334">
        <w:t xml:space="preserve"> [done]</w:t>
      </w:r>
    </w:p>
    <w:p w:rsidR="00927334" w:rsidRDefault="001665A8" w:rsidP="00927334">
      <w:pPr>
        <w:pStyle w:val="ListParagraph"/>
        <w:numPr>
          <w:ilvl w:val="2"/>
          <w:numId w:val="10"/>
        </w:numPr>
      </w:pPr>
      <w:r>
        <w:t xml:space="preserve">March 3 + 2w will start disabling </w:t>
      </w:r>
      <w:r w:rsidR="00927334">
        <w:t xml:space="preserve">and deleting </w:t>
      </w:r>
      <w:r>
        <w:t>accounts</w:t>
      </w:r>
      <w:r w:rsidR="00927334">
        <w:t xml:space="preserve"> (one week after deactivation)  [started]</w:t>
      </w:r>
    </w:p>
    <w:p w:rsidR="001665A8" w:rsidRDefault="001665A8" w:rsidP="001665A8">
      <w:pPr>
        <w:pStyle w:val="ListParagraph"/>
        <w:numPr>
          <w:ilvl w:val="1"/>
          <w:numId w:val="10"/>
        </w:numPr>
      </w:pPr>
      <w:r>
        <w:t xml:space="preserve">Will likely save </w:t>
      </w:r>
      <w:r w:rsidR="00927334">
        <w:t xml:space="preserve">more than 200 </w:t>
      </w:r>
      <w:r>
        <w:t>accounts spaces on Only Office</w:t>
      </w:r>
    </w:p>
    <w:p w:rsidR="001665A8" w:rsidRDefault="001665A8" w:rsidP="001665A8">
      <w:pPr>
        <w:pStyle w:val="ListParagraph"/>
        <w:numPr>
          <w:ilvl w:val="0"/>
          <w:numId w:val="10"/>
        </w:numPr>
      </w:pPr>
      <w:r>
        <w:t>Voter registration proposal [Matt]</w:t>
      </w:r>
    </w:p>
    <w:p w:rsidR="001665A8" w:rsidRDefault="001665A8" w:rsidP="001665A8">
      <w:pPr>
        <w:pStyle w:val="ListParagraph"/>
        <w:numPr>
          <w:ilvl w:val="0"/>
          <w:numId w:val="10"/>
        </w:numPr>
      </w:pPr>
      <w:r>
        <w:t>April workshop [Alicia]</w:t>
      </w:r>
    </w:p>
    <w:p w:rsidR="001665A8" w:rsidRDefault="001665A8" w:rsidP="001665A8">
      <w:pPr>
        <w:pStyle w:val="ListParagraph"/>
        <w:numPr>
          <w:ilvl w:val="1"/>
          <w:numId w:val="10"/>
        </w:numPr>
      </w:pPr>
      <w:r>
        <w:t>April 24 – 26 in Amsterdam</w:t>
      </w:r>
    </w:p>
    <w:p w:rsidR="001665A8" w:rsidRDefault="001665A8" w:rsidP="001665A8">
      <w:pPr>
        <w:pStyle w:val="ListParagraph"/>
        <w:numPr>
          <w:ilvl w:val="1"/>
          <w:numId w:val="10"/>
        </w:numPr>
      </w:pPr>
      <w:r>
        <w:t>Registration closed</w:t>
      </w:r>
    </w:p>
    <w:p w:rsidR="001665A8" w:rsidRDefault="001665A8" w:rsidP="001665A8">
      <w:pPr>
        <w:pStyle w:val="ListParagraph"/>
        <w:numPr>
          <w:ilvl w:val="0"/>
          <w:numId w:val="10"/>
        </w:numPr>
      </w:pPr>
      <w:r>
        <w:t>CCRA transitions [Petra]</w:t>
      </w:r>
    </w:p>
    <w:p w:rsidR="001665A8" w:rsidRDefault="001665A8" w:rsidP="001665A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1665A8" w:rsidRDefault="001665A8" w:rsidP="001665A8">
      <w:pPr>
        <w:pStyle w:val="ListParagraph"/>
        <w:numPr>
          <w:ilvl w:val="1"/>
          <w:numId w:val="10"/>
        </w:numPr>
      </w:pPr>
      <w:r>
        <w:t xml:space="preserve">Petra to collect questions and send to CCDB Liaison </w:t>
      </w:r>
    </w:p>
    <w:p w:rsidR="00C84DE9" w:rsidRDefault="00C84DE9" w:rsidP="00C84DE9">
      <w:pPr>
        <w:pStyle w:val="ListParagraph"/>
        <w:numPr>
          <w:ilvl w:val="2"/>
          <w:numId w:val="10"/>
        </w:numPr>
      </w:pPr>
      <w:r>
        <w:t>Have six questions so far for the CCDB, will be rephrased for CCDB consumption and plan to send over on Friday</w:t>
      </w:r>
    </w:p>
    <w:p w:rsidR="001665A8" w:rsidRDefault="001665A8" w:rsidP="001665A8">
      <w:pPr>
        <w:pStyle w:val="ListParagraph"/>
        <w:numPr>
          <w:ilvl w:val="0"/>
          <w:numId w:val="10"/>
        </w:numPr>
      </w:pPr>
      <w:r>
        <w:t>CCDB update [David]</w:t>
      </w:r>
    </w:p>
    <w:p w:rsidR="00C84DE9" w:rsidRDefault="00C84DE9" w:rsidP="00C84DE9">
      <w:pPr>
        <w:pStyle w:val="ListParagraph"/>
        <w:numPr>
          <w:ilvl w:val="1"/>
          <w:numId w:val="10"/>
        </w:numPr>
      </w:pPr>
      <w:r>
        <w:t>No updates from CCDB</w:t>
      </w:r>
    </w:p>
    <w:p w:rsidR="00E94EEE" w:rsidRDefault="00E94EEE" w:rsidP="00C84DE9">
      <w:pPr>
        <w:pStyle w:val="ListParagraph"/>
        <w:numPr>
          <w:ilvl w:val="1"/>
          <w:numId w:val="10"/>
        </w:numPr>
      </w:pPr>
      <w:r>
        <w:t>Would like to have a summary of the conference futures discussion</w:t>
      </w:r>
    </w:p>
    <w:p w:rsidR="00444C30" w:rsidRDefault="00444C30" w:rsidP="001665A8">
      <w:pPr>
        <w:pStyle w:val="ListParagraph"/>
        <w:numPr>
          <w:ilvl w:val="0"/>
          <w:numId w:val="10"/>
        </w:numPr>
      </w:pPr>
      <w:r>
        <w:t>New collaboration portal trial</w:t>
      </w:r>
    </w:p>
    <w:p w:rsidR="00444C30" w:rsidRDefault="00444C30" w:rsidP="00444C30">
      <w:pPr>
        <w:pStyle w:val="ListParagraph"/>
        <w:numPr>
          <w:ilvl w:val="1"/>
          <w:numId w:val="10"/>
        </w:numPr>
      </w:pPr>
      <w:r>
        <w:t>Need a second-level domain name for collaboration portal; somewhere below ccusersforum.org</w:t>
      </w:r>
    </w:p>
    <w:p w:rsidR="00444C30" w:rsidRDefault="00444C30" w:rsidP="00444C30">
      <w:pPr>
        <w:pStyle w:val="ListParagraph"/>
        <w:numPr>
          <w:ilvl w:val="1"/>
          <w:numId w:val="10"/>
        </w:numPr>
      </w:pPr>
      <w:r>
        <w:t>Users would create their own accounts for the trial site</w:t>
      </w:r>
    </w:p>
    <w:p w:rsidR="00444C30" w:rsidRDefault="00444C30" w:rsidP="00444C30">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444C30" w:rsidRDefault="00444C30" w:rsidP="00444C30">
      <w:pPr>
        <w:pStyle w:val="ListParagraph"/>
        <w:numPr>
          <w:ilvl w:val="1"/>
          <w:numId w:val="10"/>
        </w:numPr>
      </w:pPr>
      <w:r>
        <w:lastRenderedPageBreak/>
        <w:t>Then roll out to the Network iTC and potentially a newer iTC</w:t>
      </w:r>
    </w:p>
    <w:p w:rsidR="00444C30" w:rsidRDefault="00444C30" w:rsidP="00444C30">
      <w:pPr>
        <w:pStyle w:val="ListParagraph"/>
        <w:numPr>
          <w:ilvl w:val="1"/>
          <w:numId w:val="10"/>
        </w:numPr>
      </w:pPr>
      <w:r>
        <w:t>Will aim to have the CCUF MG on the site and scouting it out by March 31</w:t>
      </w:r>
    </w:p>
    <w:p w:rsidR="001665A8" w:rsidRDefault="001665A8" w:rsidP="001665A8">
      <w:pPr>
        <w:pStyle w:val="ListParagraph"/>
        <w:numPr>
          <w:ilvl w:val="0"/>
          <w:numId w:val="10"/>
        </w:numPr>
      </w:pPr>
      <w:r>
        <w:t>Placeholder to renew when the domain is up for renewal in 2018 [Mike]</w:t>
      </w:r>
    </w:p>
    <w:p w:rsidR="001665A8" w:rsidRDefault="001665A8" w:rsidP="001665A8">
      <w:pPr>
        <w:pStyle w:val="ListParagraph"/>
        <w:numPr>
          <w:ilvl w:val="0"/>
          <w:numId w:val="10"/>
        </w:numPr>
      </w:pPr>
      <w:r>
        <w:t>Any other business</w:t>
      </w:r>
    </w:p>
    <w:p w:rsidR="00A54B19" w:rsidRDefault="00A54B19" w:rsidP="00A54B19">
      <w:pPr>
        <w:pStyle w:val="ListParagraph"/>
        <w:numPr>
          <w:ilvl w:val="1"/>
          <w:numId w:val="10"/>
        </w:numPr>
      </w:pPr>
      <w:r>
        <w:t>Send David feedback on the workshop futures discussion</w:t>
      </w:r>
      <w:bookmarkStart w:id="0" w:name="_GoBack"/>
      <w:bookmarkEnd w:id="0"/>
    </w:p>
    <w:p w:rsidR="001665A8" w:rsidRPr="00945896" w:rsidRDefault="001665A8" w:rsidP="001665A8">
      <w:pPr>
        <w:pStyle w:val="ListParagraph"/>
        <w:numPr>
          <w:ilvl w:val="0"/>
          <w:numId w:val="10"/>
        </w:numPr>
      </w:pPr>
      <w:r w:rsidRPr="00945896">
        <w:t xml:space="preserve">Next meeting: </w:t>
      </w:r>
      <w:r w:rsidR="00E94EEE">
        <w:t>Wednesday, April 12 and 8:00 AM Pacific / 11:00 AM Eastern</w:t>
      </w:r>
    </w:p>
    <w:p w:rsidR="001665A8" w:rsidRDefault="001665A8" w:rsidP="00462AD4">
      <w:pPr>
        <w:pStyle w:val="Heading1"/>
      </w:pPr>
    </w:p>
    <w:p w:rsidR="00462AD4" w:rsidRDefault="00462AD4" w:rsidP="00462AD4">
      <w:pPr>
        <w:pStyle w:val="Heading1"/>
      </w:pPr>
      <w:r>
        <w:t>February Agenda:</w:t>
      </w:r>
    </w:p>
    <w:p w:rsidR="00462AD4" w:rsidRDefault="00462AD4" w:rsidP="00462AD4">
      <w:pPr>
        <w:pStyle w:val="ListParagraph"/>
        <w:numPr>
          <w:ilvl w:val="0"/>
          <w:numId w:val="10"/>
        </w:numPr>
      </w:pPr>
      <w:r>
        <w:t>CCUF meeting at RSA [Mike]</w:t>
      </w:r>
    </w:p>
    <w:p w:rsidR="00707EED" w:rsidRDefault="00707EED" w:rsidP="00707EED">
      <w:pPr>
        <w:pStyle w:val="ListParagraph"/>
        <w:numPr>
          <w:ilvl w:val="1"/>
          <w:numId w:val="10"/>
        </w:numPr>
      </w:pPr>
      <w:r>
        <w:t>40+ registered and 30 showed up for a 2.5 hour meeting</w:t>
      </w:r>
    </w:p>
    <w:p w:rsidR="00707EED" w:rsidRDefault="00707EED" w:rsidP="00707EED">
      <w:pPr>
        <w:pStyle w:val="ListParagraph"/>
        <w:numPr>
          <w:ilvl w:val="1"/>
          <w:numId w:val="10"/>
        </w:numPr>
      </w:pPr>
      <w:r>
        <w:t>Largest segment was government staffers, then labs, followed industry (around 7 companies)</w:t>
      </w:r>
    </w:p>
    <w:p w:rsidR="00707EED" w:rsidRDefault="00707EED" w:rsidP="00707EED">
      <w:pPr>
        <w:pStyle w:val="ListParagraph"/>
        <w:numPr>
          <w:ilvl w:val="1"/>
          <w:numId w:val="10"/>
        </w:numPr>
      </w:pPr>
      <w:r>
        <w:t>Discussion around EAL compared to cPP, assurance activities, ISO updates to CC, and making ISO CC documents available at low cost or free (cost was seen as barrier for industry and labs)</w:t>
      </w:r>
    </w:p>
    <w:p w:rsidR="00462AD4" w:rsidRDefault="00462AD4" w:rsidP="00462AD4">
      <w:pPr>
        <w:pStyle w:val="ListParagraph"/>
        <w:numPr>
          <w:ilvl w:val="0"/>
          <w:numId w:val="10"/>
        </w:numPr>
      </w:pPr>
      <w:r>
        <w:t>Inactive accounts [Michael, Alicia, Petra]</w:t>
      </w:r>
    </w:p>
    <w:p w:rsidR="00462AD4" w:rsidRDefault="00462AD4" w:rsidP="00462AD4">
      <w:pPr>
        <w:pStyle w:val="ListParagraph"/>
        <w:numPr>
          <w:ilvl w:val="1"/>
          <w:numId w:val="10"/>
        </w:numPr>
      </w:pPr>
      <w:r>
        <w:t>Have plan to inform users [done]</w:t>
      </w:r>
    </w:p>
    <w:p w:rsidR="00462AD4" w:rsidRDefault="00462AD4" w:rsidP="00462AD4">
      <w:pPr>
        <w:pStyle w:val="ListParagraph"/>
        <w:numPr>
          <w:ilvl w:val="1"/>
          <w:numId w:val="10"/>
        </w:numPr>
      </w:pPr>
      <w:r>
        <w:t>Announcement posted [done]</w:t>
      </w:r>
    </w:p>
    <w:p w:rsidR="00462AD4" w:rsidRDefault="00462AD4" w:rsidP="00462AD4">
      <w:pPr>
        <w:pStyle w:val="ListParagraph"/>
        <w:numPr>
          <w:ilvl w:val="1"/>
          <w:numId w:val="10"/>
        </w:numPr>
      </w:pPr>
      <w:r>
        <w:t xml:space="preserve">Next </w:t>
      </w:r>
      <w:r w:rsidR="00707EED">
        <w:t>steps</w:t>
      </w:r>
    </w:p>
    <w:p w:rsidR="00707EED" w:rsidRDefault="00707EED" w:rsidP="00707EED">
      <w:pPr>
        <w:pStyle w:val="ListParagraph"/>
        <w:numPr>
          <w:ilvl w:val="2"/>
          <w:numId w:val="10"/>
        </w:numPr>
      </w:pPr>
      <w:r>
        <w:t>Emails sent on Feb 15</w:t>
      </w:r>
      <w:r w:rsidR="008669DA">
        <w:t>; have already ¼ responses already (yes, no, non-delivered mail)</w:t>
      </w:r>
    </w:p>
    <w:p w:rsidR="00707EED" w:rsidRDefault="00707EED" w:rsidP="00707EED">
      <w:pPr>
        <w:pStyle w:val="ListParagraph"/>
        <w:numPr>
          <w:ilvl w:val="2"/>
          <w:numId w:val="10"/>
        </w:numPr>
      </w:pPr>
      <w:r>
        <w:t xml:space="preserve">Will send reminders on </w:t>
      </w:r>
      <w:r w:rsidR="008669DA">
        <w:t>March 3</w:t>
      </w:r>
    </w:p>
    <w:p w:rsidR="00707EED" w:rsidRDefault="008669DA" w:rsidP="00707EED">
      <w:pPr>
        <w:pStyle w:val="ListParagraph"/>
        <w:numPr>
          <w:ilvl w:val="2"/>
          <w:numId w:val="10"/>
        </w:numPr>
      </w:pPr>
      <w:r>
        <w:t>March 3 + 2w</w:t>
      </w:r>
      <w:r w:rsidR="00707EED">
        <w:t xml:space="preserve"> will start disabling accounts</w:t>
      </w:r>
    </w:p>
    <w:p w:rsidR="008669DA" w:rsidRDefault="008669DA" w:rsidP="008669DA">
      <w:pPr>
        <w:pStyle w:val="ListParagraph"/>
        <w:numPr>
          <w:ilvl w:val="1"/>
          <w:numId w:val="10"/>
        </w:numPr>
      </w:pPr>
      <w:r>
        <w:t>Will likely save 100 accounts spaces on Only Office</w:t>
      </w:r>
    </w:p>
    <w:p w:rsidR="00462AD4" w:rsidRDefault="00462AD4" w:rsidP="00462AD4">
      <w:pPr>
        <w:pStyle w:val="ListParagraph"/>
        <w:numPr>
          <w:ilvl w:val="0"/>
          <w:numId w:val="10"/>
        </w:numPr>
      </w:pPr>
      <w:r>
        <w:t>Voter registration proposal [Matt]</w:t>
      </w:r>
    </w:p>
    <w:p w:rsidR="008669DA" w:rsidRDefault="008669DA" w:rsidP="008669DA">
      <w:pPr>
        <w:pStyle w:val="ListParagraph"/>
        <w:numPr>
          <w:ilvl w:val="1"/>
          <w:numId w:val="10"/>
        </w:numPr>
      </w:pPr>
      <w:r>
        <w:t>Revising blog posting about the proposal now; should be ready by Feb 24</w:t>
      </w:r>
    </w:p>
    <w:p w:rsidR="00462AD4" w:rsidRDefault="00462AD4" w:rsidP="00462AD4">
      <w:pPr>
        <w:pStyle w:val="ListParagraph"/>
        <w:numPr>
          <w:ilvl w:val="0"/>
          <w:numId w:val="10"/>
        </w:numPr>
      </w:pPr>
      <w:r>
        <w:t>Start planning for the April workshop [Alicia]</w:t>
      </w:r>
    </w:p>
    <w:p w:rsidR="00462AD4" w:rsidRDefault="00462AD4" w:rsidP="00462AD4">
      <w:pPr>
        <w:pStyle w:val="ListParagraph"/>
        <w:numPr>
          <w:ilvl w:val="1"/>
          <w:numId w:val="10"/>
        </w:numPr>
      </w:pPr>
      <w:r>
        <w:t>April 24 – 26 in Amsterdam; Alicia checking into space for CCDB and CCUF meetings</w:t>
      </w:r>
    </w:p>
    <w:p w:rsidR="00462AD4" w:rsidRDefault="00462AD4" w:rsidP="00462AD4">
      <w:pPr>
        <w:pStyle w:val="ListParagraph"/>
        <w:numPr>
          <w:ilvl w:val="1"/>
          <w:numId w:val="10"/>
        </w:numPr>
      </w:pPr>
      <w:r>
        <w:t>Introduction posting [done]</w:t>
      </w:r>
    </w:p>
    <w:p w:rsidR="00462AD4" w:rsidRDefault="00462AD4" w:rsidP="00462AD4">
      <w:pPr>
        <w:pStyle w:val="ListParagraph"/>
        <w:numPr>
          <w:ilvl w:val="1"/>
          <w:numId w:val="10"/>
        </w:numPr>
      </w:pPr>
      <w:r>
        <w:t xml:space="preserve">Post announcement for TCs and </w:t>
      </w:r>
      <w:proofErr w:type="spellStart"/>
      <w:r>
        <w:t>iTCs</w:t>
      </w:r>
      <w:proofErr w:type="spellEnd"/>
      <w:r>
        <w:t xml:space="preserve"> to register [done]</w:t>
      </w:r>
    </w:p>
    <w:p w:rsidR="00462AD4" w:rsidRDefault="00462AD4" w:rsidP="00462AD4">
      <w:pPr>
        <w:pStyle w:val="ListParagraph"/>
        <w:numPr>
          <w:ilvl w:val="1"/>
          <w:numId w:val="10"/>
        </w:numPr>
      </w:pPr>
      <w:r>
        <w:t>Open for registration [done]</w:t>
      </w:r>
    </w:p>
    <w:p w:rsidR="008669DA" w:rsidRDefault="008669DA" w:rsidP="008669DA">
      <w:pPr>
        <w:pStyle w:val="ListParagraph"/>
        <w:numPr>
          <w:ilvl w:val="2"/>
          <w:numId w:val="10"/>
        </w:numPr>
      </w:pPr>
      <w:r>
        <w:t>30 people registered so far; majority are vendors but labs are a close second</w:t>
      </w:r>
    </w:p>
    <w:p w:rsidR="00462AD4" w:rsidRDefault="00462AD4" w:rsidP="00462AD4">
      <w:pPr>
        <w:pStyle w:val="ListParagraph"/>
        <w:numPr>
          <w:ilvl w:val="1"/>
          <w:numId w:val="10"/>
        </w:numPr>
      </w:pPr>
      <w:r>
        <w:t xml:space="preserve">Touchpoint in February immediately after CCUF </w:t>
      </w:r>
      <w:proofErr w:type="spellStart"/>
      <w:r>
        <w:t>mgmt</w:t>
      </w:r>
      <w:proofErr w:type="spellEnd"/>
      <w:r>
        <w:t xml:space="preserve"> meeting</w:t>
      </w:r>
    </w:p>
    <w:p w:rsidR="00462AD4" w:rsidRDefault="00462AD4" w:rsidP="00462AD4">
      <w:pPr>
        <w:pStyle w:val="ListParagraph"/>
        <w:numPr>
          <w:ilvl w:val="0"/>
          <w:numId w:val="10"/>
        </w:numPr>
      </w:pPr>
      <w:r>
        <w:t>CCRA transitions [Petra]</w:t>
      </w:r>
    </w:p>
    <w:p w:rsidR="008669DA" w:rsidRDefault="008669DA" w:rsidP="008669DA">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8669DA" w:rsidRDefault="008669DA" w:rsidP="008669DA">
      <w:pPr>
        <w:pStyle w:val="ListParagraph"/>
        <w:numPr>
          <w:ilvl w:val="1"/>
          <w:numId w:val="10"/>
        </w:numPr>
      </w:pPr>
      <w:r>
        <w:t xml:space="preserve">Petra to collect questions and send to CCDB Liaison </w:t>
      </w:r>
    </w:p>
    <w:p w:rsidR="008669DA" w:rsidRDefault="008669DA" w:rsidP="008669DA">
      <w:pPr>
        <w:pStyle w:val="ListParagraph"/>
        <w:numPr>
          <w:ilvl w:val="0"/>
          <w:numId w:val="10"/>
        </w:numPr>
      </w:pPr>
      <w:r>
        <w:t>CCDB update [David]</w:t>
      </w:r>
    </w:p>
    <w:p w:rsidR="008669DA" w:rsidRDefault="0015206A" w:rsidP="008669DA">
      <w:pPr>
        <w:pStyle w:val="ListParagraph"/>
        <w:numPr>
          <w:ilvl w:val="1"/>
          <w:numId w:val="10"/>
        </w:numPr>
      </w:pPr>
      <w:r>
        <w:t>Not seeing any progress on hosting ICCC; agenda topic for CCDB/ ES meeting</w:t>
      </w:r>
    </w:p>
    <w:p w:rsidR="0015206A" w:rsidRDefault="0015206A" w:rsidP="00D43019">
      <w:pPr>
        <w:pStyle w:val="ListParagraph"/>
        <w:numPr>
          <w:ilvl w:val="1"/>
          <w:numId w:val="10"/>
        </w:numPr>
      </w:pPr>
      <w:r>
        <w:t xml:space="preserve">New Collaboration Tool, is “very, very close but not here yet”; likely would be used by the Network iTC during the trial, would have people register themselves for the new </w:t>
      </w:r>
      <w:r>
        <w:lastRenderedPageBreak/>
        <w:t>tool; ETA is next few weeks; hope to have discussion about actual usage at Amsterdam meeting</w:t>
      </w:r>
    </w:p>
    <w:p w:rsidR="0015206A" w:rsidRDefault="0015206A" w:rsidP="00D43019">
      <w:pPr>
        <w:pStyle w:val="ListParagraph"/>
        <w:numPr>
          <w:ilvl w:val="1"/>
          <w:numId w:val="10"/>
        </w:numPr>
      </w:pPr>
      <w:r>
        <w:t xml:space="preserve">ISO voting for CC-related </w:t>
      </w:r>
      <w:proofErr w:type="spellStart"/>
      <w:r>
        <w:t>workitems</w:t>
      </w:r>
      <w:proofErr w:type="spellEnd"/>
      <w:r>
        <w:t xml:space="preserve"> is proceeding</w:t>
      </w:r>
    </w:p>
    <w:p w:rsidR="00462AD4" w:rsidRDefault="00462AD4" w:rsidP="00462AD4">
      <w:pPr>
        <w:pStyle w:val="ListParagraph"/>
        <w:numPr>
          <w:ilvl w:val="0"/>
          <w:numId w:val="10"/>
        </w:numPr>
      </w:pPr>
      <w:r>
        <w:t>Discussion on potential CCUF futures [Mike]</w:t>
      </w:r>
    </w:p>
    <w:p w:rsidR="00462AD4" w:rsidRDefault="00462AD4" w:rsidP="00462AD4">
      <w:pPr>
        <w:pStyle w:val="ListParagraph"/>
        <w:numPr>
          <w:ilvl w:val="0"/>
          <w:numId w:val="10"/>
        </w:numPr>
      </w:pPr>
      <w:r>
        <w:t>Placeholder to renew when the domain is up for renewal in 2018 [Mike]</w:t>
      </w:r>
    </w:p>
    <w:p w:rsidR="00462AD4" w:rsidRDefault="00462AD4" w:rsidP="00462AD4">
      <w:pPr>
        <w:pStyle w:val="ListParagraph"/>
        <w:numPr>
          <w:ilvl w:val="0"/>
          <w:numId w:val="10"/>
        </w:numPr>
      </w:pPr>
      <w:r>
        <w:t>Any other business</w:t>
      </w:r>
    </w:p>
    <w:p w:rsidR="0015206A" w:rsidRDefault="0015206A" w:rsidP="0015206A">
      <w:pPr>
        <w:pStyle w:val="ListParagraph"/>
        <w:numPr>
          <w:ilvl w:val="1"/>
          <w:numId w:val="10"/>
        </w:numPr>
      </w:pPr>
      <w:r>
        <w:t>Autumn ISO 27 meeting will be in Berlin</w:t>
      </w:r>
    </w:p>
    <w:p w:rsidR="0015206A" w:rsidRDefault="0015206A" w:rsidP="0015206A">
      <w:pPr>
        <w:pStyle w:val="ListParagraph"/>
        <w:numPr>
          <w:ilvl w:val="1"/>
          <w:numId w:val="10"/>
        </w:numPr>
      </w:pPr>
      <w:r>
        <w:t>Autumn CCDB meeting location and time is TBD</w:t>
      </w:r>
    </w:p>
    <w:p w:rsidR="00462AD4" w:rsidRPr="00945896" w:rsidRDefault="00462AD4" w:rsidP="00462AD4">
      <w:pPr>
        <w:pStyle w:val="ListParagraph"/>
        <w:numPr>
          <w:ilvl w:val="0"/>
          <w:numId w:val="10"/>
        </w:numPr>
      </w:pPr>
      <w:r w:rsidRPr="00945896">
        <w:t>Next meeting:</w:t>
      </w:r>
      <w:r w:rsidR="004274F6" w:rsidRPr="00945896">
        <w:t xml:space="preserve"> Wednesday, March 22, 11:00 AM Eastern</w:t>
      </w:r>
    </w:p>
    <w:p w:rsidR="00436CE2" w:rsidRDefault="00436CE2" w:rsidP="00436CE2">
      <w:pPr>
        <w:pStyle w:val="Heading1"/>
      </w:pPr>
      <w:r>
        <w:t>January Agenda:</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t xml:space="preserve">Post announcement for TCs and </w:t>
      </w:r>
      <w:proofErr w:type="spellStart"/>
      <w:r>
        <w:t>iTCs</w:t>
      </w:r>
      <w:proofErr w:type="spellEnd"/>
      <w:r>
        <w:t xml:space="preserve">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 xml:space="preserve">Touchpoint in February immediately after CCUF </w:t>
      </w:r>
      <w:proofErr w:type="spellStart"/>
      <w:r>
        <w:t>mgmt</w:t>
      </w:r>
      <w:proofErr w:type="spellEnd"/>
      <w:r>
        <w:t xml:space="preserve"> meeting</w:t>
      </w:r>
    </w:p>
    <w:p w:rsidR="00436CE2" w:rsidRDefault="00436CE2" w:rsidP="00436CE2">
      <w:pPr>
        <w:pStyle w:val="ListParagraph"/>
        <w:numPr>
          <w:ilvl w:val="0"/>
          <w:numId w:val="10"/>
        </w:numPr>
      </w:pPr>
      <w:r>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t>Will invite scheme at RSA Conference about the CCUF meeting in San Francisco</w:t>
      </w:r>
    </w:p>
    <w:p w:rsidR="00952D9C" w:rsidRDefault="001702FB" w:rsidP="00952D9C">
      <w:pPr>
        <w:pStyle w:val="ListParagraph"/>
        <w:numPr>
          <w:ilvl w:val="1"/>
          <w:numId w:val="10"/>
        </w:numPr>
      </w:pPr>
      <w:r>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p>
    <w:p w:rsidR="00436CE2" w:rsidRPr="00436CE2" w:rsidRDefault="00436CE2" w:rsidP="00436CE2"/>
    <w:p w:rsidR="00AB40D6" w:rsidRDefault="00AB40D6" w:rsidP="00AB40D6">
      <w:pPr>
        <w:pStyle w:val="Heading1"/>
      </w:pPr>
      <w:r>
        <w:t>December Agenda:</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lastRenderedPageBreak/>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 xml:space="preserve">management], online doc editing and change tracking, version </w:t>
      </w:r>
      <w:proofErr w:type="spellStart"/>
      <w:r w:rsidRPr="00427BF5">
        <w:t>mgmt</w:t>
      </w:r>
      <w:proofErr w:type="spellEnd"/>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5"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F357E1">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t>November Agenda:</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lastRenderedPageBreak/>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t xml:space="preserve">Alicia reports back on meeting notes from February and March: discuss in April, “voting in multiple phases after new </w:t>
      </w:r>
      <w:proofErr w:type="spellStart"/>
      <w:r>
        <w:t>mgmt</w:t>
      </w:r>
      <w:proofErr w:type="spellEnd"/>
      <w:r>
        <w:t xml:space="preserve">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 xml:space="preserve">Next CCUF </w:t>
      </w:r>
      <w:proofErr w:type="spellStart"/>
      <w:r>
        <w:t>mgmt</w:t>
      </w:r>
      <w:proofErr w:type="spellEnd"/>
      <w:r>
        <w:t xml:space="preserve">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t xml:space="preserve">October </w:t>
      </w:r>
      <w:r w:rsidR="0082445B">
        <w:t>Agenda:</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lastRenderedPageBreak/>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t xml:space="preserve">B. Cancel now -- announce on July 25, [look for a different venue and different time, not part of announcement] </w:t>
      </w:r>
    </w:p>
    <w:p w:rsidR="00322AF8" w:rsidRDefault="0064270A">
      <w:r>
        <w:rPr>
          <w:highlight w:val="yellow"/>
        </w:rPr>
        <w:t xml:space="preserve">[Mike to send draft copies to </w:t>
      </w:r>
      <w:proofErr w:type="spellStart"/>
      <w:r>
        <w:rPr>
          <w:highlight w:val="yellow"/>
        </w:rPr>
        <w:t>mgmt</w:t>
      </w:r>
      <w:proofErr w:type="spellEnd"/>
      <w:r>
        <w:rPr>
          <w:highlight w:val="yellow"/>
        </w:rPr>
        <w:t xml:space="preserve"> group and David of the announcement and an email to Umay]</w:t>
      </w:r>
    </w:p>
    <w:p w:rsidR="00322AF8" w:rsidRDefault="0064270A">
      <w:r>
        <w:tab/>
        <w:t>Petra, Mike, Alicia check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t>out of band meeting on August 2, placeholder for August 4</w:t>
      </w:r>
    </w:p>
    <w:p w:rsidR="00322AF8" w:rsidRDefault="0064270A">
      <w:r>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lastRenderedPageBreak/>
        <w:t>1. workshop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t>4. Michael's CNITSEC visit  -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engage with CNITSEC and non-CCUF stakeholders</w:t>
      </w:r>
    </w:p>
    <w:p w:rsidR="00322AF8" w:rsidRDefault="0064270A">
      <w:r>
        <w:t>3. voting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 xml:space="preserve">Matt Keller, </w:t>
            </w:r>
            <w:proofErr w:type="spellStart"/>
            <w:r>
              <w:t>Corsec</w:t>
            </w:r>
            <w:proofErr w:type="spellEnd"/>
            <w:r>
              <w:t xml:space="preserve">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t>Updates From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lastRenderedPageBreak/>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Several MG members were approached to contribute to the new Common Criteria day  (on May 20) preceding the start of the ICMC 2016 in Ottawa. Matt talked to Bill, who 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6"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t xml:space="preserve">Coming out of the India Workshop was an idea to liaise between the CCUF and </w:t>
      </w:r>
      <w:proofErr w:type="spellStart"/>
      <w:r>
        <w:rPr>
          <w:rFonts w:eastAsia="Times New Roman"/>
        </w:rPr>
        <w:t>SmartCard</w:t>
      </w:r>
      <w:proofErr w:type="spellEnd"/>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AI’s coming out of Windsor included defining a customer base to target and mapping the CC to other controls being used (</w:t>
      </w:r>
      <w:proofErr w:type="spellStart"/>
      <w:r>
        <w:rPr>
          <w:rFonts w:eastAsia="Times New Roman"/>
        </w:rPr>
        <w:t>FedRAMP</w:t>
      </w:r>
      <w:proofErr w:type="spellEnd"/>
      <w:r>
        <w:rPr>
          <w:rFonts w:eastAsia="Times New Roman"/>
        </w:rPr>
        <w:t xml:space="preserve">,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lastRenderedPageBreak/>
        <w:t>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w:t>
      </w:r>
      <w:proofErr w:type="spellStart"/>
      <w:r>
        <w:rPr>
          <w:rFonts w:eastAsia="Times New Roman"/>
        </w:rPr>
        <w:t>iTC’s</w:t>
      </w:r>
      <w:proofErr w:type="spellEnd"/>
      <w:r>
        <w:rPr>
          <w:rFonts w:eastAsia="Times New Roman"/>
        </w:rPr>
        <w:t xml:space="preserve"> are standing up this capability themselves. There may be an opportunity to take what the </w:t>
      </w:r>
      <w:proofErr w:type="spellStart"/>
      <w:r>
        <w:rPr>
          <w:rFonts w:eastAsia="Times New Roman"/>
        </w:rPr>
        <w:t>NDcPP</w:t>
      </w:r>
      <w:proofErr w:type="spellEnd"/>
      <w:r>
        <w:rPr>
          <w:rFonts w:eastAsia="Times New Roman"/>
        </w:rPr>
        <w:t xml:space="preserve"> group has done and help circulate that information to other </w:t>
      </w:r>
      <w:proofErr w:type="spellStart"/>
      <w:r>
        <w:rPr>
          <w:rFonts w:eastAsia="Times New Roman"/>
        </w:rPr>
        <w:t>iTCs</w:t>
      </w:r>
      <w:proofErr w:type="spellEnd"/>
      <w:r>
        <w:rPr>
          <w:rFonts w:eastAsia="Times New Roman"/>
        </w:rPr>
        <w:t>.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lastRenderedPageBreak/>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 xml:space="preserve">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w:t>
      </w:r>
      <w:proofErr w:type="spellStart"/>
      <w:r>
        <w:rPr>
          <w:i/>
          <w:iCs/>
          <w:sz w:val="24"/>
          <w:szCs w:val="24"/>
        </w:rPr>
        <w:t>the</w:t>
      </w:r>
      <w:proofErr w:type="spellEnd"/>
      <w:r>
        <w:rPr>
          <w:i/>
          <w:iCs/>
          <w:sz w:val="24"/>
          <w:szCs w:val="24"/>
        </w:rPr>
        <w:t xml:space="preserv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lastRenderedPageBreak/>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w:t>
            </w:r>
            <w:proofErr w:type="spellStart"/>
            <w:r>
              <w:rPr>
                <w:rFonts w:eastAsia="Times New Roman" w:cs="Times New Roman"/>
                <w:color w:val="000000"/>
                <w:sz w:val="24"/>
                <w:szCs w:val="24"/>
              </w:rPr>
              <w:t>mid April</w:t>
            </w:r>
            <w:proofErr w:type="spellEnd"/>
            <w:r>
              <w:rPr>
                <w:rFonts w:eastAsia="Times New Roman" w:cs="Times New Roman"/>
                <w:color w:val="000000"/>
                <w:sz w:val="24"/>
                <w:szCs w:val="24"/>
              </w:rPr>
              <w:t xml:space="preserve">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lastRenderedPageBreak/>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sectPr w:rsidR="00322AF8">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E72A72"/>
    <w:multiLevelType w:val="hybridMultilevel"/>
    <w:tmpl w:val="715A2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7"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9"/>
  </w:num>
  <w:num w:numId="4">
    <w:abstractNumId w:val="7"/>
  </w:num>
  <w:num w:numId="5">
    <w:abstractNumId w:val="4"/>
  </w:num>
  <w:num w:numId="6">
    <w:abstractNumId w:val="1"/>
  </w:num>
  <w:num w:numId="7">
    <w:abstractNumId w:val="3"/>
  </w:num>
  <w:num w:numId="8">
    <w:abstractNumId w:val="2"/>
  </w:num>
  <w:num w:numId="9">
    <w:abstractNumId w:val="8"/>
  </w:num>
  <w:num w:numId="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F1FB9"/>
    <w:rsid w:val="0015206A"/>
    <w:rsid w:val="001665A8"/>
    <w:rsid w:val="001702FB"/>
    <w:rsid w:val="001F7048"/>
    <w:rsid w:val="002270C8"/>
    <w:rsid w:val="002B1AEE"/>
    <w:rsid w:val="00322AF8"/>
    <w:rsid w:val="003D1D56"/>
    <w:rsid w:val="003F1901"/>
    <w:rsid w:val="004274F6"/>
    <w:rsid w:val="00427BF5"/>
    <w:rsid w:val="00436CE2"/>
    <w:rsid w:val="00444C30"/>
    <w:rsid w:val="00462AD4"/>
    <w:rsid w:val="004756B5"/>
    <w:rsid w:val="006366E2"/>
    <w:rsid w:val="0064270A"/>
    <w:rsid w:val="00707EED"/>
    <w:rsid w:val="0082445B"/>
    <w:rsid w:val="008669DA"/>
    <w:rsid w:val="008902E4"/>
    <w:rsid w:val="008E237E"/>
    <w:rsid w:val="008E6BE5"/>
    <w:rsid w:val="00903D1D"/>
    <w:rsid w:val="00904A4A"/>
    <w:rsid w:val="00927334"/>
    <w:rsid w:val="00937FFD"/>
    <w:rsid w:val="00945896"/>
    <w:rsid w:val="00952D9C"/>
    <w:rsid w:val="00996BA8"/>
    <w:rsid w:val="00A54B19"/>
    <w:rsid w:val="00AB40D6"/>
    <w:rsid w:val="00AD342C"/>
    <w:rsid w:val="00AD4D24"/>
    <w:rsid w:val="00AE62AA"/>
    <w:rsid w:val="00BC51AD"/>
    <w:rsid w:val="00C84DE9"/>
    <w:rsid w:val="00C963B2"/>
    <w:rsid w:val="00D05991"/>
    <w:rsid w:val="00D8226F"/>
    <w:rsid w:val="00E063AC"/>
    <w:rsid w:val="00E94EEE"/>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gmt@ccusersforum.org" TargetMode="External"/><Relationship Id="rId5" Type="http://schemas.openxmlformats.org/officeDocument/2006/relationships/hyperlink" Target="https://ccusersforum.onlyoffice.com/products/fil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12</Pages>
  <Words>3614</Words>
  <Characters>20605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7</cp:revision>
  <dcterms:created xsi:type="dcterms:W3CDTF">2017-02-16T15:07:00Z</dcterms:created>
  <dcterms:modified xsi:type="dcterms:W3CDTF">2017-03-22T16:30:00Z</dcterms:modified>
</cp:coreProperties>
</file>