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:rsidR="00F64020" w:rsidRDefault="00C26E53">
      <w:pPr>
        <w:pStyle w:val="Title"/>
        <w:rPr>
          <w:caps/>
          <w:sz w:val="40"/>
        </w:rPr>
      </w:pPr>
      <w:r>
        <w:rPr>
          <w:sz w:val="40"/>
        </w:rPr>
        <w:t>Ju</w:t>
      </w:r>
      <w:r w:rsidR="004F6E83">
        <w:rPr>
          <w:sz w:val="40"/>
        </w:rPr>
        <w:t>ly</w:t>
      </w:r>
      <w:r>
        <w:rPr>
          <w:sz w:val="40"/>
        </w:rPr>
        <w:t xml:space="preserve"> 2</w:t>
      </w:r>
      <w:r w:rsidR="004F6E83">
        <w:rPr>
          <w:sz w:val="40"/>
        </w:rPr>
        <w:t>4</w:t>
      </w:r>
      <w:r>
        <w:rPr>
          <w:sz w:val="40"/>
        </w:rPr>
        <w:t>, 2019</w:t>
      </w:r>
    </w:p>
    <w:p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:rsidR="00F64020" w:rsidRDefault="00C26E53">
      <w:r>
        <w:t xml:space="preserve"> </w:t>
      </w:r>
      <w:r>
        <w:tab/>
      </w:r>
    </w:p>
    <w:p w:rsidR="00F64020" w:rsidRDefault="001E5B5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Fiona Pattinson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</w:p>
    <w:p w:rsidR="00F64020" w:rsidRDefault="003D429B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C26E53">
        <w:noBreakHyphen/>
        <w:t xml:space="preserve"> HP</w:t>
      </w:r>
    </w:p>
    <w:p w:rsidR="00F64020" w:rsidRDefault="00AB581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Matt Keller </w:t>
      </w:r>
      <w:r w:rsidR="00C26E53">
        <w:noBreakHyphen/>
        <w:t xml:space="preserve"> </w:t>
      </w:r>
      <w:proofErr w:type="spellStart"/>
      <w:r w:rsidR="00C26E53">
        <w:t>Corsec</w:t>
      </w:r>
      <w:proofErr w:type="spellEnd"/>
      <w:r w:rsidR="00C26E53">
        <w:tab/>
      </w:r>
    </w:p>
    <w:p w:rsidR="00F64020" w:rsidRDefault="003D429B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:rsidR="00F64020" w:rsidRDefault="003D429B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proofErr w:type="spellStart"/>
      <w:r w:rsidR="00C26E53">
        <w:t>Epoche</w:t>
      </w:r>
      <w:proofErr w:type="spellEnd"/>
      <w:r w:rsidR="00C26E53">
        <w:t xml:space="preserve"> &amp; </w:t>
      </w:r>
      <w:proofErr w:type="spellStart"/>
      <w:r w:rsidR="00C26E53">
        <w:t>Espri</w:t>
      </w:r>
      <w:proofErr w:type="spellEnd"/>
      <w:r w:rsidR="00C26E53">
        <w:t xml:space="preserve">  </w:t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Mike Grimm </w:t>
      </w:r>
      <w:r>
        <w:noBreakHyphen/>
        <w:t xml:space="preserve"> Microsoft </w:t>
      </w:r>
      <w:r>
        <w:tab/>
      </w:r>
      <w:r>
        <w:tab/>
      </w:r>
    </w:p>
    <w:p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C26E53">
        <w:noBreakHyphen/>
        <w:t xml:space="preserve"> Cisco</w:t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>Mary Baish NIAP (CCDB Liaison)</w:t>
      </w:r>
    </w:p>
    <w:p w:rsidR="00A41BCF" w:rsidRDefault="00A41BCF" w:rsidP="00C26E53">
      <w:pPr>
        <w:pStyle w:val="ListParagraph"/>
        <w:numPr>
          <w:ilvl w:val="0"/>
          <w:numId w:val="2"/>
        </w:numPr>
      </w:pPr>
      <w:r>
        <w:t xml:space="preserve">David Martin </w:t>
      </w:r>
      <w:r>
        <w:noBreakHyphen/>
        <w:t xml:space="preserve"> NCSC (guest)</w:t>
      </w:r>
    </w:p>
    <w:p w:rsidR="00F64020" w:rsidRDefault="00C26E53">
      <w:r>
        <w:t>(</w:t>
      </w:r>
      <w:r>
        <w:t>*) In attendance</w:t>
      </w:r>
    </w:p>
    <w:p w:rsidR="00F64020" w:rsidRDefault="00C26E53">
      <w:pPr>
        <w:pStyle w:val="Heading1"/>
      </w:pPr>
      <w:r>
        <w:t>Agenda:</w:t>
      </w:r>
    </w:p>
    <w:p w:rsidR="00F64020" w:rsidRDefault="00C26E53">
      <w:pPr>
        <w:pStyle w:val="Heading2"/>
      </w:pPr>
      <w:r>
        <w:t>General</w:t>
      </w:r>
    </w:p>
    <w:p w:rsidR="00F64020" w:rsidRDefault="00C26E53">
      <w:r>
        <w:t xml:space="preserve">A rough </w:t>
      </w:r>
      <w:hyperlink r:id="rId7" w:history="1">
        <w:r>
          <w:rPr>
            <w:rStyle w:val="Hyperlink"/>
          </w:rPr>
          <w:t>plan for CCUF activities</w:t>
        </w:r>
      </w:hyperlink>
      <w:r>
        <w:t xml:space="preserve"> has been produced as a guideline. This can be r</w:t>
      </w:r>
      <w:r>
        <w:t>eviewed and updated by the management team.</w:t>
      </w:r>
    </w:p>
    <w:p w:rsidR="00F64020" w:rsidRDefault="00C26E53">
      <w:pPr>
        <w:pStyle w:val="Heading2"/>
      </w:pPr>
      <w:r>
        <w:t>CCUF Workshops</w:t>
      </w: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color w:val="000000"/>
        </w:rPr>
        <w:t xml:space="preserve">San Francisco (RSA): </w:t>
      </w:r>
    </w:p>
    <w:p w:rsidR="00F64020" w:rsidRDefault="00C26E53" w:rsidP="00C26E53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Action: FP to post a summary in Only Office.</w:t>
      </w:r>
    </w:p>
    <w:p w:rsidR="00F64020" w:rsidRDefault="00F64020">
      <w:pPr>
        <w:ind w:left="709"/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Singapore</w:t>
      </w:r>
      <w:r>
        <w:rPr>
          <w:color w:val="000000" w:themeColor="text1"/>
        </w:rPr>
        <w:t xml:space="preserve"> (CCDB/ICCC) - October </w:t>
      </w:r>
      <w:proofErr w:type="gramStart"/>
      <w:r>
        <w:rPr>
          <w:color w:val="000000" w:themeColor="text1"/>
        </w:rPr>
        <w:t>1-3</w:t>
      </w:r>
      <w:proofErr w:type="gramEnd"/>
      <w:r>
        <w:rPr>
          <w:color w:val="000000" w:themeColor="text1"/>
        </w:rPr>
        <w:t xml:space="preserve"> 2019</w:t>
      </w:r>
    </w:p>
    <w:p w:rsidR="00F64020" w:rsidRDefault="00C26E53">
      <w:pPr>
        <w:ind w:left="764"/>
        <w:rPr>
          <w:b/>
          <w:color w:val="000000"/>
        </w:rPr>
      </w:pPr>
      <w:r>
        <w:rPr>
          <w:b/>
          <w:color w:val="000000" w:themeColor="text1"/>
        </w:rPr>
        <w:t>Actions: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FP/PM: Reach out to talk to Singapore about CCUF logistics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FF0000"/>
        </w:rPr>
      </w:pPr>
      <w:r>
        <w:rPr>
          <w:color w:val="FF0000"/>
        </w:rPr>
        <w:t xml:space="preserve">PM: </w:t>
      </w:r>
      <w:proofErr w:type="spellStart"/>
      <w:r>
        <w:rPr>
          <w:color w:val="FF0000"/>
        </w:rPr>
        <w:t>iTC</w:t>
      </w:r>
      <w:proofErr w:type="spellEnd"/>
      <w:r>
        <w:rPr>
          <w:color w:val="FF0000"/>
        </w:rPr>
        <w:t>/TC/WG</w:t>
      </w:r>
    </w:p>
    <w:p w:rsidR="001E5B58" w:rsidRDefault="001E5B58" w:rsidP="00C26E53">
      <w:pPr>
        <w:pStyle w:val="ListParagraph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PM: send out draft schedule, ask for topics &amp; discussions, reg email issues</w:t>
      </w:r>
    </w:p>
    <w:p w:rsidR="00F64020" w:rsidRDefault="00F64020">
      <w:pPr>
        <w:ind w:left="764"/>
        <w:rPr>
          <w:b/>
          <w:color w:val="000000"/>
        </w:rPr>
      </w:pPr>
    </w:p>
    <w:p w:rsidR="00F64020" w:rsidRDefault="00C26E53">
      <w:pPr>
        <w:ind w:left="764"/>
        <w:rPr>
          <w:b/>
          <w:color w:val="000000"/>
        </w:rPr>
      </w:pPr>
      <w:r>
        <w:rPr>
          <w:b/>
          <w:color w:val="000000" w:themeColor="text1"/>
        </w:rPr>
        <w:t>Report:</w:t>
      </w:r>
    </w:p>
    <w:p w:rsidR="001E5B58" w:rsidRPr="001E5B58" w:rsidRDefault="001E5B58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/>
        </w:rPr>
        <w:t>Draft schedule prepared.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>Workshop is Wed-Fri and Monday (ICCC is following Tuesday-Thursday).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 xml:space="preserve">Registration for CCUF Workshop is open. PM has emailed all </w:t>
      </w:r>
      <w:proofErr w:type="spellStart"/>
      <w:r>
        <w:rPr>
          <w:color w:val="000000" w:themeColor="text1"/>
        </w:rPr>
        <w:t>iTCs</w:t>
      </w:r>
      <w:proofErr w:type="spellEnd"/>
      <w:r>
        <w:rPr>
          <w:color w:val="000000" w:themeColor="text1"/>
        </w:rPr>
        <w:t xml:space="preserve"> to see what sessions are needed. Limit is 100 folks.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 xml:space="preserve">Hotel is the Pan Pacific: We have 3 room and coffee/tea break </w:t>
      </w:r>
      <w:r>
        <w:rPr>
          <w:color w:val="000000" w:themeColor="text1"/>
        </w:rPr>
        <w:t>area. CCUF on 2nd floor, CCDB on 1st floor. Coffee/Tea is included.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>Room rates (290 Singapore dollars) - Need to find the code to apply the discount.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b/>
          <w:strike/>
          <w:color w:val="000000"/>
        </w:rPr>
      </w:pPr>
      <w:r>
        <w:rPr>
          <w:color w:val="000000" w:themeColor="text1"/>
        </w:rPr>
        <w:t xml:space="preserve">ICCC </w:t>
      </w:r>
      <w:proofErr w:type="gramStart"/>
      <w:r>
        <w:rPr>
          <w:color w:val="000000" w:themeColor="text1"/>
        </w:rPr>
        <w:t>An</w:t>
      </w:r>
      <w:proofErr w:type="gramEnd"/>
      <w:r>
        <w:rPr>
          <w:color w:val="000000" w:themeColor="text1"/>
        </w:rPr>
        <w:t xml:space="preserve"> announcement by Singapore has been made, and the </w:t>
      </w:r>
      <w:hyperlink r:id="rId8" w:history="1">
        <w:r>
          <w:rPr>
            <w:rStyle w:val="Hyperlink"/>
          </w:rPr>
          <w:t>call for speakers</w:t>
        </w:r>
      </w:hyperlink>
      <w:r>
        <w:rPr>
          <w:color w:val="000000" w:themeColor="text1"/>
        </w:rPr>
        <w:t xml:space="preserve"> for ICCC is </w:t>
      </w:r>
      <w:r w:rsidR="001E5B58">
        <w:rPr>
          <w:color w:val="000000" w:themeColor="text1"/>
        </w:rPr>
        <w:t>closed</w:t>
      </w:r>
      <w:r>
        <w:rPr>
          <w:color w:val="000000" w:themeColor="text1"/>
        </w:rPr>
        <w:t>.</w:t>
      </w:r>
      <w:r w:rsidR="001E5B58">
        <w:rPr>
          <w:color w:val="000000" w:themeColor="text1"/>
        </w:rPr>
        <w:t xml:space="preserve"> 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>ICCC Program committee has been convened by Singapore and had its third meeting.</w:t>
      </w:r>
    </w:p>
    <w:p w:rsidR="00F64020" w:rsidRDefault="00C26E53">
      <w:pPr>
        <w:pStyle w:val="Heading2"/>
      </w:pPr>
      <w:r>
        <w:lastRenderedPageBreak/>
        <w:t>Communications/Outreach</w:t>
      </w:r>
    </w:p>
    <w:p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:rsidR="00F64020" w:rsidRDefault="00C26E53">
      <w:pPr>
        <w:ind w:left="732"/>
        <w:rPr>
          <w:color w:val="000000" w:themeColor="text1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  <w:t xml:space="preserve">FP/PM Ongoing: Next newsletter in July time-frame: </w:t>
      </w:r>
      <w:r>
        <w:rPr>
          <w:color w:val="FF0000"/>
        </w:rPr>
        <w:br/>
      </w:r>
      <w:r>
        <w:rPr>
          <w:b/>
          <w:color w:val="000000" w:themeColor="text1"/>
        </w:rPr>
        <w:t>Report</w:t>
      </w:r>
      <w:r>
        <w:rPr>
          <w:color w:val="000000" w:themeColor="text1"/>
        </w:rPr>
        <w:t xml:space="preserve">: </w:t>
      </w:r>
    </w:p>
    <w:p w:rsidR="00011885" w:rsidRPr="00011885" w:rsidRDefault="0001188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Being worked on</w:t>
      </w:r>
    </w:p>
    <w:p w:rsidR="00F64020" w:rsidRDefault="00F64020">
      <w:pPr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:rsidR="00F64020" w:rsidRDefault="00C26E53">
      <w:pPr>
        <w:ind w:left="732"/>
        <w:rPr>
          <w:rFonts w:eastAsia="Times New Roman"/>
          <w:lang w:eastAsia="en-GB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:rsidR="00F64020" w:rsidRDefault="00C26E53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  <w:r>
        <w:rPr>
          <w:rFonts w:eastAsia="Times New Roman"/>
          <w:b/>
          <w:color w:val="000000" w:themeColor="text1"/>
          <w:lang w:eastAsia="en-GB"/>
        </w:rPr>
        <w:t xml:space="preserve"> 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(19-05-28)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KL has videos of Tools session and the CCUF update session but is awaiting approval from the vi</w:t>
      </w:r>
      <w:r>
        <w:rPr>
          <w:rFonts w:eastAsia="Times New Roman"/>
          <w:color w:val="000000" w:themeColor="text1"/>
          <w:lang w:eastAsia="en-GB"/>
        </w:rPr>
        <w:t>deo stars.</w:t>
      </w:r>
    </w:p>
    <w:p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:rsidR="00F64020" w:rsidRDefault="00C26E53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9" w:history="1">
        <w:r>
          <w:rPr>
            <w:b/>
            <w:color w:val="000000" w:themeColor="text1"/>
            <w:lang w:eastAsia="en-GB"/>
          </w:rPr>
          <w:t xml:space="preserve">CCUF website </w:t>
        </w:r>
      </w:hyperlink>
      <w:r>
        <w:rPr>
          <w:b/>
          <w:color w:val="000000" w:themeColor="text1"/>
          <w:lang w:eastAsia="en-GB"/>
        </w:rPr>
        <w:t xml:space="preserve">and </w:t>
      </w:r>
      <w:hyperlink r:id="rId10" w:history="1">
        <w:proofErr w:type="spellStart"/>
        <w:r>
          <w:rPr>
            <w:b/>
            <w:color w:val="000000" w:themeColor="text1"/>
            <w:lang w:eastAsia="en-GB"/>
          </w:rPr>
          <w:t>CCPortal</w:t>
        </w:r>
        <w:proofErr w:type="spellEnd"/>
      </w:hyperlink>
      <w:r>
        <w:rPr>
          <w:b/>
          <w:color w:val="000000" w:themeColor="text1"/>
          <w:lang w:eastAsia="en-GB"/>
        </w:rPr>
        <w:t xml:space="preserve"> updates</w:t>
      </w:r>
      <w:r>
        <w:rPr>
          <w:rFonts w:eastAsia="Times New Roman"/>
          <w:b/>
          <w:lang w:eastAsia="en-GB"/>
        </w:rPr>
        <w:br/>
      </w: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:rsidR="00F64020" w:rsidRDefault="00C26E53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Ongoing: FP: Events page needs update.</w:t>
      </w:r>
    </w:p>
    <w:p w:rsidR="00F64020" w:rsidRDefault="001E5B58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 xml:space="preserve">FP </w:t>
      </w:r>
      <w:r w:rsidR="00C26E53">
        <w:rPr>
          <w:color w:val="FF0000"/>
        </w:rPr>
        <w:t>Reach out to Brian to see if he is willing to continue domain/hosting in the future.</w:t>
      </w:r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F64020" w:rsidRDefault="00F64020">
      <w:pPr>
        <w:tabs>
          <w:tab w:val="left" w:pos="2177"/>
        </w:tabs>
        <w:ind w:left="720"/>
        <w:rPr>
          <w:color w:val="FF0000"/>
        </w:rPr>
      </w:pPr>
    </w:p>
    <w:p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:rsidR="00F64020" w:rsidRPr="00506DB5" w:rsidRDefault="00C26E53">
      <w:pPr>
        <w:tabs>
          <w:tab w:val="left" w:pos="2177"/>
          <w:tab w:val="left" w:pos="2477"/>
        </w:tabs>
        <w:ind w:left="709"/>
        <w:rPr>
          <w:b/>
          <w:strike/>
          <w:color w:val="000000"/>
        </w:rPr>
      </w:pPr>
      <w:r w:rsidRPr="00506DB5">
        <w:rPr>
          <w:rFonts w:eastAsia="Times New Roman"/>
          <w:strike/>
          <w:color w:val="FF0000"/>
          <w:lang w:eastAsia="en-GB"/>
        </w:rPr>
        <w:t xml:space="preserve">MK/PM/KL: To </w:t>
      </w:r>
      <w:proofErr w:type="spellStart"/>
      <w:r w:rsidRPr="00506DB5">
        <w:rPr>
          <w:rFonts w:eastAsia="Times New Roman"/>
          <w:strike/>
          <w:color w:val="FF0000"/>
          <w:lang w:eastAsia="en-GB"/>
        </w:rPr>
        <w:t>organise</w:t>
      </w:r>
      <w:proofErr w:type="spellEnd"/>
      <w:r w:rsidRPr="00506DB5">
        <w:rPr>
          <w:rFonts w:eastAsia="Times New Roman"/>
          <w:strike/>
          <w:color w:val="FF0000"/>
          <w:lang w:eastAsia="en-GB"/>
        </w:rPr>
        <w:t xml:space="preserve"> the next calls potentially in July</w:t>
      </w:r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F64020" w:rsidRPr="00506DB5" w:rsidRDefault="00506DB5" w:rsidP="00C26E53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 w:rsidRPr="00506DB5">
        <w:rPr>
          <w:rFonts w:eastAsia="Times New Roman"/>
          <w:color w:val="000000"/>
          <w:lang w:eastAsia="en-GB"/>
        </w:rPr>
        <w:t>North America - August 20</w:t>
      </w:r>
      <w:r w:rsidRPr="00506DB5">
        <w:rPr>
          <w:rFonts w:eastAsia="Times New Roman"/>
          <w:color w:val="000000"/>
          <w:vertAlign w:val="superscript"/>
          <w:lang w:eastAsia="en-GB"/>
        </w:rPr>
        <w:t>th</w:t>
      </w:r>
    </w:p>
    <w:p w:rsidR="00506DB5" w:rsidRPr="00506DB5" w:rsidRDefault="00506DB5" w:rsidP="00C26E53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 w:rsidRPr="00506DB5">
        <w:rPr>
          <w:rFonts w:eastAsia="Times New Roman"/>
          <w:color w:val="000000"/>
          <w:lang w:eastAsia="en-GB"/>
        </w:rPr>
        <w:t>EMEA &amp; APAC – August 21st</w:t>
      </w:r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</w:t>
      </w:r>
      <w:r>
        <w:rPr>
          <w:b/>
          <w:color w:val="000000" w:themeColor="text1"/>
        </w:rPr>
        <w:t>ember Survey</w:t>
      </w:r>
    </w:p>
    <w:p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FP/MK to complete the draft of a survey</w:t>
      </w:r>
      <w:r>
        <w:rPr>
          <w:color w:val="000000" w:themeColor="text1"/>
        </w:rPr>
        <w:t xml:space="preserve"> </w:t>
      </w:r>
      <w:r>
        <w:rPr>
          <w:color w:val="FF0000"/>
        </w:rPr>
        <w:t>and send to management group for review</w:t>
      </w:r>
      <w:r>
        <w:rPr>
          <w:color w:val="000000" w:themeColor="text1"/>
        </w:rPr>
        <w:t>.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1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color w:val="000000"/>
        </w:rPr>
      </w:pPr>
      <w:r>
        <w:rPr>
          <w:color w:val="000000" w:themeColor="text1"/>
        </w:rPr>
        <w:t>We will plan to perform another survey with a goal of presenting in Singapore. FP is dr</w:t>
      </w:r>
      <w:r>
        <w:rPr>
          <w:color w:val="000000" w:themeColor="text1"/>
        </w:rPr>
        <w:t xml:space="preserve">afting a survey using </w:t>
      </w:r>
      <w:proofErr w:type="spellStart"/>
      <w:r>
        <w:rPr>
          <w:color w:val="000000" w:themeColor="text1"/>
        </w:rPr>
        <w:t>surveymonkey</w:t>
      </w:r>
      <w:proofErr w:type="spellEnd"/>
      <w:r>
        <w:rPr>
          <w:color w:val="000000" w:themeColor="text1"/>
        </w:rPr>
        <w:t xml:space="preserve"> - Free service is limited to 10 questions.</w:t>
      </w:r>
    </w:p>
    <w:p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:rsidR="00F64020" w:rsidRDefault="00C26E53">
      <w:r>
        <w:br w:type="page"/>
      </w:r>
    </w:p>
    <w:p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lastRenderedPageBreak/>
        <w:t>Liaisons</w:t>
      </w:r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We should produce and communicate the procedures to the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and make reminders that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should provide updates. 19/5/29: This process will be included in the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guide being </w:t>
      </w:r>
      <w:proofErr w:type="spellStart"/>
      <w:r>
        <w:rPr>
          <w:rFonts w:eastAsia="Times New Roman"/>
          <w:color w:val="FF0000"/>
          <w:lang w:eastAsia="en-GB"/>
        </w:rPr>
        <w:t>co-ordinated</w:t>
      </w:r>
      <w:proofErr w:type="spellEnd"/>
      <w:r>
        <w:rPr>
          <w:rFonts w:eastAsia="Times New Roman"/>
          <w:color w:val="FF0000"/>
          <w:lang w:eastAsia="en-GB"/>
        </w:rPr>
        <w:t xml:space="preserve"> by the Tools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(Brian Wood).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Action: FP/MV</w:t>
      </w:r>
      <w:proofErr w:type="gramStart"/>
      <w:r>
        <w:rPr>
          <w:rFonts w:eastAsia="Times New Roman"/>
          <w:color w:val="FF0000"/>
          <w:lang w:eastAsia="en-GB"/>
        </w:rPr>
        <w:t>/  Need</w:t>
      </w:r>
      <w:proofErr w:type="gramEnd"/>
      <w:r>
        <w:rPr>
          <w:rFonts w:eastAsia="Times New Roman"/>
          <w:color w:val="FF0000"/>
          <w:lang w:eastAsia="en-GB"/>
        </w:rPr>
        <w:t xml:space="preserve"> to identify a “</w:t>
      </w:r>
      <w:r>
        <w:rPr>
          <w:rFonts w:eastAsia="Times New Roman"/>
          <w:color w:val="FF0000"/>
          <w:lang w:eastAsia="en-GB"/>
        </w:rPr>
        <w:t>champion” for each topic</w:t>
      </w:r>
      <w:r>
        <w:rPr>
          <w:rFonts w:eastAsia="Times New Roman"/>
          <w:lang w:eastAsia="en-GB"/>
        </w:rPr>
        <w:t>. M</w:t>
      </w:r>
      <w:r>
        <w:rPr>
          <w:rFonts w:eastAsia="Times New Roman"/>
          <w:color w:val="FF0000"/>
          <w:lang w:eastAsia="en-GB"/>
        </w:rPr>
        <w:t>B volunteers to be a champion (Assurance Maintenance).</w:t>
      </w:r>
    </w:p>
    <w:p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Vote for approval of HCD is underway.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Spring CCDB meeting location is to be confirmed.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MK: CCUF answers to CCDB questions could be improved. We need to provide input to the CCDB when they have asked us questions. 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Feedback from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. Can the CCUF help co-ordinate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updates to the CC Portal?</w:t>
      </w:r>
      <w:r>
        <w:rPr>
          <w:color w:val="000000" w:themeColor="text1"/>
        </w:rPr>
        <w:br/>
        <w:t>Advice and monitoring by the CCUF management group</w:t>
      </w:r>
      <w:r>
        <w:rPr>
          <w:color w:val="000000" w:themeColor="text1"/>
        </w:rPr>
        <w:t xml:space="preserve"> is underway</w:t>
      </w:r>
      <w:r>
        <w:rPr>
          <w:color w:val="000000" w:themeColor="text1"/>
        </w:rPr>
        <w:br/>
      </w:r>
      <w:r>
        <w:rPr>
          <w:b/>
        </w:rPr>
        <w:tab/>
      </w:r>
    </w:p>
    <w:p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:rsidR="00C22AD4" w:rsidRDefault="00C22AD4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FP upload 15408 to portal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KL to draft reply </w:t>
      </w:r>
      <w:proofErr w:type="spellStart"/>
      <w:r>
        <w:rPr>
          <w:rFonts w:eastAsia="Times New Roman"/>
          <w:color w:val="FF0000"/>
          <w:lang w:eastAsia="en-GB"/>
        </w:rPr>
        <w:t>liason</w:t>
      </w:r>
      <w:proofErr w:type="spellEnd"/>
      <w:r>
        <w:rPr>
          <w:rFonts w:eastAsia="Times New Roman"/>
          <w:color w:val="FF0000"/>
          <w:lang w:eastAsia="en-GB"/>
        </w:rPr>
        <w:t xml:space="preserve"> report to WG 3 in time for the WG3 deadline (September).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Received feedback/comments from Network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>, and DSC for FPT_INI to be forwarded to ISO editor asap (Deadline is mid-June).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KL to c</w:t>
      </w:r>
      <w:r>
        <w:rPr>
          <w:rFonts w:eastAsia="Times New Roman"/>
          <w:color w:val="FF0000"/>
          <w:lang w:eastAsia="en-GB"/>
        </w:rPr>
        <w:t>ontact members to</w:t>
      </w:r>
    </w:p>
    <w:p w:rsidR="00C22AD4" w:rsidRDefault="00C26E53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br/>
      </w:r>
      <w:r w:rsidR="00C22AD4">
        <w:rPr>
          <w:color w:val="000000"/>
          <w:highlight w:val="white"/>
          <w:lang w:eastAsia="en-GB"/>
        </w:rPr>
        <w:t>ISO is almost complete 15408 editing</w:t>
      </w:r>
    </w:p>
    <w:p w:rsidR="00C22AD4" w:rsidRPr="00C22AD4" w:rsidRDefault="00C22AD4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 w:rsidRPr="00C22AD4">
        <w:rPr>
          <w:color w:val="000000"/>
        </w:rPr>
        <w:t>CCUF ISO member meeting before Sept</w:t>
      </w:r>
      <w:r>
        <w:rPr>
          <w:color w:val="000000"/>
        </w:rPr>
        <w:t xml:space="preserve"> and possibly at the workshop</w:t>
      </w:r>
    </w:p>
    <w:p w:rsidR="00F64020" w:rsidRDefault="00C26E53">
      <w:pPr>
        <w:tabs>
          <w:tab w:val="left" w:pos="2177"/>
        </w:tabs>
        <w:ind w:left="720"/>
        <w:rPr>
          <w:color w:val="000000"/>
          <w:szCs w:val="24"/>
          <w:highlight w:val="white"/>
        </w:rPr>
      </w:pPr>
      <w:r>
        <w:rPr>
          <w:color w:val="000000"/>
          <w:highlight w:val="white"/>
          <w:lang w:eastAsia="en-GB"/>
        </w:rPr>
        <w:t>48 members in ISO CCUF group.</w:t>
      </w:r>
    </w:p>
    <w:p w:rsidR="00F64020" w:rsidRDefault="00C26E53">
      <w:pPr>
        <w:tabs>
          <w:tab w:val="left" w:pos="2177"/>
        </w:tabs>
        <w:ind w:left="720"/>
        <w:rPr>
          <w:szCs w:val="24"/>
        </w:rPr>
      </w:pPr>
      <w:r>
        <w:rPr>
          <w:color w:val="000000"/>
          <w:lang w:eastAsia="en-GB"/>
        </w:rPr>
        <w:t>The liaison was formally approved by ISO.</w:t>
      </w:r>
      <w:r>
        <w:rPr>
          <w:color w:val="000000"/>
          <w:lang w:eastAsia="en-GB"/>
        </w:rPr>
        <w:br/>
      </w:r>
      <w:r>
        <w:t xml:space="preserve">Kwangwoo </w:t>
      </w:r>
      <w:r w:rsidR="00C22AD4">
        <w:t xml:space="preserve">will </w:t>
      </w:r>
      <w:r>
        <w:t>represented the CCUF in WG3 in</w:t>
      </w:r>
      <w:r w:rsidR="00C22AD4">
        <w:t xml:space="preserve"> Paris </w:t>
      </w:r>
      <w:r w:rsidR="00927EC8">
        <w:t xml:space="preserve">which is being held after </w:t>
      </w:r>
      <w:proofErr w:type="gramStart"/>
      <w:r w:rsidR="00927EC8">
        <w:t xml:space="preserve">the </w:t>
      </w:r>
      <w:r w:rsidR="00C22AD4">
        <w:t xml:space="preserve"> CCUF</w:t>
      </w:r>
      <w:proofErr w:type="gramEnd"/>
      <w:r w:rsidR="00C22AD4">
        <w:t xml:space="preserve"> Workshop</w:t>
      </w:r>
      <w:r>
        <w:t xml:space="preserve">. </w:t>
      </w:r>
    </w:p>
    <w:p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:rsidR="00F64020" w:rsidRDefault="00C26E53">
      <w:pPr>
        <w:pStyle w:val="Heading2"/>
      </w:pPr>
      <w:r>
        <w:t>Conferences &amp; Events with expected CCUF involvement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(Singapore: October 2019)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Cybersecurity conference (Brussels, November 2019) (Approved for MK to progress with CNXTD</w:t>
      </w:r>
      <w:r>
        <w:rPr>
          <w:color w:val="000000"/>
        </w:rPr>
        <w:t xml:space="preserve"> marketing)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RSA (February/March San Francisco)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(Maryland: April 28-May 1, 2020)</w:t>
      </w:r>
    </w:p>
    <w:p w:rsidR="00C22AD4" w:rsidRDefault="00C22AD4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MG elections (April 2020)</w:t>
      </w:r>
    </w:p>
    <w:p w:rsidR="00F64020" w:rsidRDefault="00C26E53">
      <w:pPr>
        <w:pStyle w:val="Heading2"/>
      </w:pPr>
      <w:r>
        <w:t xml:space="preserve">Collaboration Tools </w:t>
      </w:r>
    </w:p>
    <w:p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:rsidR="00F64020" w:rsidRDefault="00C26E53" w:rsidP="00C26E53">
      <w:pPr>
        <w:pStyle w:val="ListParagraph"/>
        <w:numPr>
          <w:ilvl w:val="0"/>
          <w:numId w:val="18"/>
        </w:numPr>
        <w:rPr>
          <w:b/>
          <w:color w:val="FF0000"/>
        </w:rPr>
      </w:pPr>
      <w:r w:rsidRPr="00927EC8">
        <w:rPr>
          <w:b/>
          <w:color w:val="FF0000"/>
        </w:rPr>
        <w:t>PM/MV to sync up ref membership</w:t>
      </w:r>
    </w:p>
    <w:p w:rsidR="00927EC8" w:rsidRPr="00927EC8" w:rsidRDefault="00927EC8" w:rsidP="00C26E53">
      <w:pPr>
        <w:pStyle w:val="ListParagraph"/>
        <w:numPr>
          <w:ilvl w:val="0"/>
          <w:numId w:val="18"/>
        </w:numPr>
        <w:rPr>
          <w:b/>
          <w:color w:val="FF0000"/>
        </w:rPr>
      </w:pPr>
      <w:r>
        <w:rPr>
          <w:color w:val="FF0000"/>
        </w:rPr>
        <w:t>PM to delete disabled accounts to free up space</w:t>
      </w:r>
      <w:bookmarkStart w:id="0" w:name="_GoBack"/>
      <w:bookmarkEnd w:id="0"/>
    </w:p>
    <w:p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lastRenderedPageBreak/>
        <w:t>R</w:t>
      </w:r>
      <w:r>
        <w:rPr>
          <w:rFonts w:eastAsia="Times New Roman"/>
          <w:b/>
          <w:color w:val="000000" w:themeColor="text1"/>
          <w:lang w:eastAsia="en-GB"/>
        </w:rPr>
        <w:t>eport:</w:t>
      </w:r>
    </w:p>
    <w:p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A119F5" w:rsidRPr="00A119F5">
        <w:rPr>
          <w:b/>
          <w:color w:val="FF0000"/>
          <w:highlight w:val="white"/>
        </w:rPr>
        <w:t>4.05</w:t>
      </w:r>
      <w:r w:rsidRPr="00A119F5">
        <w:rPr>
          <w:b/>
          <w:color w:val="FF0000"/>
        </w:rPr>
        <w:t xml:space="preserve"> </w:t>
      </w:r>
      <w:r>
        <w:rPr>
          <w:b/>
        </w:rPr>
        <w:t>/ 5</w:t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Pr="00A119F5">
        <w:rPr>
          <w:b/>
          <w:color w:val="FF0000"/>
          <w:highlight w:val="white"/>
        </w:rPr>
        <w:t>8</w:t>
      </w:r>
      <w:r w:rsidR="00A119F5" w:rsidRPr="00A119F5">
        <w:rPr>
          <w:b/>
          <w:color w:val="FF0000"/>
          <w:highlight w:val="white"/>
        </w:rPr>
        <w:t>35</w:t>
      </w:r>
      <w:r>
        <w:rPr>
          <w:b/>
          <w:color w:val="000000"/>
          <w:highlight w:val="white"/>
        </w:rPr>
        <w:t xml:space="preserve"> / 1000</w:t>
      </w:r>
    </w:p>
    <w:p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:rsidR="00F64020" w:rsidRDefault="00C26E53">
      <w:pPr>
        <w:ind w:left="720"/>
        <w:rPr>
          <w:b/>
          <w:color w:val="00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>
        <w:rPr>
          <w:b/>
          <w:color w:val="FF0000"/>
        </w:rPr>
        <w:t>2019-0</w:t>
      </w:r>
      <w:r w:rsidR="006E600C">
        <w:rPr>
          <w:b/>
          <w:color w:val="FF0000"/>
        </w:rPr>
        <w:t>7-24</w:t>
      </w:r>
    </w:p>
    <w:p w:rsidR="00F64020" w:rsidRDefault="00A119F5">
      <w:pPr>
        <w:ind w:left="720"/>
        <w:rPr>
          <w:b/>
        </w:rPr>
      </w:pPr>
      <w:r>
        <w:rPr>
          <w:b/>
          <w:noProof/>
        </w:rPr>
        <w:drawing>
          <wp:inline distT="0" distB="0" distL="0" distR="0">
            <wp:extent cx="5943600" cy="1657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020" w:rsidRDefault="00F64020">
      <w:pPr>
        <w:ind w:left="720"/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 xml:space="preserve">Future of the collaboration tool </w:t>
      </w:r>
    </w:p>
    <w:p w:rsidR="00F64020" w:rsidRDefault="00C26E53">
      <w:pPr>
        <w:ind w:left="720"/>
      </w:pPr>
      <w:r>
        <w:rPr>
          <w:rFonts w:eastAsia="Times New Roman"/>
          <w:b/>
          <w:color w:val="000000" w:themeColor="text1"/>
          <w:lang w:eastAsia="en-GB"/>
        </w:rPr>
        <w:t>Report:</w:t>
      </w:r>
      <w:r>
        <w:rPr>
          <w:rFonts w:eastAsia="Times New Roman"/>
          <w:color w:val="000000" w:themeColor="text1"/>
          <w:lang w:eastAsia="en-GB"/>
        </w:rPr>
        <w:t xml:space="preserve"> 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wgtools</w:t>
        </w:r>
        <w:proofErr w:type="spellEnd"/>
      </w:hyperlink>
      <w:r>
        <w:t xml:space="preserve"> repository. David Martin volunteered.</w:t>
      </w:r>
    </w:p>
    <w:p w:rsidR="00C22AD4" w:rsidRDefault="00C22AD4">
      <w:pPr>
        <w:ind w:left="720"/>
        <w:rPr>
          <w:rFonts w:eastAsia="Times New Roman"/>
          <w:color w:val="000000" w:themeColor="text1"/>
          <w:lang w:eastAsia="en-GB"/>
        </w:rPr>
      </w:pPr>
      <w:r w:rsidRPr="00C22AD4">
        <w:rPr>
          <w:rFonts w:eastAsia="Times New Roman"/>
          <w:color w:val="000000" w:themeColor="text1"/>
          <w:lang w:eastAsia="en-GB"/>
        </w:rPr>
        <w:t>Really good work done</w:t>
      </w:r>
    </w:p>
    <w:p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</w:t>
      </w:r>
      <w:proofErr w:type="spellStart"/>
      <w:r>
        <w:rPr>
          <w:rFonts w:eastAsia="Times New Roman"/>
          <w:lang w:eastAsia="en-GB"/>
        </w:rPr>
        <w:t>Tcs</w:t>
      </w:r>
      <w:proofErr w:type="spellEnd"/>
      <w:r>
        <w:rPr>
          <w:rFonts w:eastAsia="Times New Roman"/>
          <w:lang w:eastAsia="en-GB"/>
        </w:rPr>
        <w:t xml:space="preserve">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:rsidR="00F64020" w:rsidRDefault="00B11EF2" w:rsidP="00C22AD4">
      <w:pPr>
        <w:spacing w:line="270" w:lineRule="atLeast"/>
        <w:ind w:left="720"/>
      </w:pPr>
      <w:r>
        <w:t>Fiona is resigning as chair. For next agenda vote for chair.</w:t>
      </w:r>
    </w:p>
    <w:p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:rsidR="00F64020" w:rsidRDefault="00B11EF2" w:rsidP="00C26E5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August 28th</w:t>
      </w:r>
      <w:r w:rsidR="00C26E53">
        <w:t xml:space="preserve">, 11 CT, 12 ET, 5pm UK, 6pm </w:t>
      </w:r>
      <w:proofErr w:type="gramStart"/>
      <w:r w:rsidR="00C26E53">
        <w:t>Europe,  1</w:t>
      </w:r>
      <w:proofErr w:type="gramEnd"/>
      <w:r w:rsidR="00C26E53">
        <w:t>am Korea</w:t>
      </w:r>
      <w:r w:rsidR="00C26E53">
        <w:rPr>
          <w:b/>
        </w:rPr>
        <w:br/>
      </w:r>
    </w:p>
    <w:sectPr w:rsidR="00F6402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E53" w:rsidRDefault="00C26E53">
      <w:r>
        <w:separator/>
      </w:r>
    </w:p>
  </w:endnote>
  <w:endnote w:type="continuationSeparator" w:id="0">
    <w:p w:rsidR="00C26E53" w:rsidRDefault="00C2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E53" w:rsidRDefault="00C26E53">
      <w:r>
        <w:separator/>
      </w:r>
    </w:p>
  </w:footnote>
  <w:footnote w:type="continuationSeparator" w:id="0">
    <w:p w:rsidR="00C26E53" w:rsidRDefault="00C26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3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20133315"/>
    <w:multiLevelType w:val="hybridMultilevel"/>
    <w:tmpl w:val="DC2AC7C0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5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7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8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9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0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1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2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3" w15:restartNumberingAfterBreak="0">
    <w:nsid w:val="5EC613C3"/>
    <w:multiLevelType w:val="hybridMultilevel"/>
    <w:tmpl w:val="A320750C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1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7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3"/>
  </w:num>
  <w:num w:numId="5">
    <w:abstractNumId w:val="9"/>
  </w:num>
  <w:num w:numId="6">
    <w:abstractNumId w:val="13"/>
  </w:num>
  <w:num w:numId="7">
    <w:abstractNumId w:val="17"/>
  </w:num>
  <w:num w:numId="8">
    <w:abstractNumId w:val="1"/>
  </w:num>
  <w:num w:numId="9">
    <w:abstractNumId w:val="14"/>
  </w:num>
  <w:num w:numId="10">
    <w:abstractNumId w:val="0"/>
  </w:num>
  <w:num w:numId="11">
    <w:abstractNumId w:val="7"/>
  </w:num>
  <w:num w:numId="12">
    <w:abstractNumId w:val="6"/>
  </w:num>
  <w:num w:numId="13">
    <w:abstractNumId w:val="11"/>
  </w:num>
  <w:num w:numId="14">
    <w:abstractNumId w:val="2"/>
  </w:num>
  <w:num w:numId="15">
    <w:abstractNumId w:val="10"/>
  </w:num>
  <w:num w:numId="16">
    <w:abstractNumId w:val="15"/>
  </w:num>
  <w:num w:numId="17">
    <w:abstractNumId w:val="4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11885"/>
    <w:rsid w:val="001E5B58"/>
    <w:rsid w:val="003D429B"/>
    <w:rsid w:val="004F6E83"/>
    <w:rsid w:val="00506DB5"/>
    <w:rsid w:val="006E600C"/>
    <w:rsid w:val="007A79FF"/>
    <w:rsid w:val="00927EC8"/>
    <w:rsid w:val="009D5CA1"/>
    <w:rsid w:val="00A119F5"/>
    <w:rsid w:val="00A41BCF"/>
    <w:rsid w:val="00AB581C"/>
    <w:rsid w:val="00B11EF2"/>
    <w:rsid w:val="00C22AD4"/>
    <w:rsid w:val="00C26E53"/>
    <w:rsid w:val="00D42AFC"/>
    <w:rsid w:val="00F6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C1B6C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cc2019.com/call-for-speakers" TargetMode="Externa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cusersforum.onlyoffice.com/products/files/doceditor.aspx?fileid=5836797" TargetMode="Externa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cusersforum.onlyoffice.com/products/files/doceditor.aspx?fileid=429628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commoncriteriaportal.org/CCUF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ccusersforum.org" TargetMode="Externa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8</cp:revision>
  <dcterms:created xsi:type="dcterms:W3CDTF">2019-07-24T08:10:00Z</dcterms:created>
  <dcterms:modified xsi:type="dcterms:W3CDTF">2019-07-24T17:12:00Z</dcterms:modified>
</cp:coreProperties>
</file>