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E66" w:rsidRDefault="005644C4" w:rsidP="005644C4">
      <w:pPr>
        <w:pStyle w:val="Title"/>
      </w:pPr>
      <w:bookmarkStart w:id="0" w:name="_GoBack"/>
      <w:r>
        <w:t>CCUF Incorporation WG meeting notes</w:t>
      </w:r>
    </w:p>
    <w:p w:rsidR="005644C4" w:rsidRDefault="005644C4" w:rsidP="005644C4">
      <w:pPr>
        <w:pStyle w:val="Subtitle"/>
      </w:pPr>
      <w:r>
        <w:t xml:space="preserve">For the teleconference held on October 3, 2014. 8:00AM </w:t>
      </w:r>
      <w:r w:rsidRPr="005644C4">
        <w:t>PDT</w:t>
      </w:r>
    </w:p>
    <w:p w:rsidR="005644C4" w:rsidRDefault="005644C4" w:rsidP="005644C4">
      <w:pPr>
        <w:pStyle w:val="Heading1"/>
      </w:pPr>
      <w:r>
        <w:t>Attendees</w:t>
      </w:r>
    </w:p>
    <w:tbl>
      <w:tblPr>
        <w:tblStyle w:val="TableGrid"/>
        <w:tblW w:w="331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3089"/>
        <w:gridCol w:w="3256"/>
      </w:tblGrid>
      <w:tr w:rsidR="00FC4E30" w:rsidRPr="00FC4E30" w:rsidTr="00D15980">
        <w:trPr>
          <w:trHeight w:val="274"/>
        </w:trPr>
        <w:tc>
          <w:tcPr>
            <w:tcW w:w="2434" w:type="pct"/>
          </w:tcPr>
          <w:p w:rsidR="00FC4E30" w:rsidRPr="00FC4E30" w:rsidRDefault="00FC4E30" w:rsidP="00FC4E30">
            <w:r w:rsidRPr="00FC4E30">
              <w:t>Erin Conner</w:t>
            </w:r>
          </w:p>
        </w:tc>
        <w:tc>
          <w:tcPr>
            <w:tcW w:w="2566" w:type="pct"/>
          </w:tcPr>
          <w:p w:rsidR="00FC4E30" w:rsidRPr="00FC4E30" w:rsidRDefault="00FC4E30" w:rsidP="00FC4E30">
            <w:r w:rsidRPr="00FC4E30">
              <w:t xml:space="preserve">Douglas </w:t>
            </w:r>
            <w:proofErr w:type="spellStart"/>
            <w:r w:rsidRPr="00FC4E30">
              <w:t>Gelbert</w:t>
            </w:r>
            <w:proofErr w:type="spellEnd"/>
          </w:p>
        </w:tc>
      </w:tr>
      <w:tr w:rsidR="00FC4E30" w:rsidRPr="00FC4E30" w:rsidTr="00D15980">
        <w:trPr>
          <w:trHeight w:val="274"/>
        </w:trPr>
        <w:tc>
          <w:tcPr>
            <w:tcW w:w="2434" w:type="pct"/>
          </w:tcPr>
          <w:p w:rsidR="00FC4E30" w:rsidRPr="00FC4E30" w:rsidRDefault="00FC4E30" w:rsidP="00FC4E30">
            <w:r w:rsidRPr="00FC4E30">
              <w:t>Mike Grimm</w:t>
            </w:r>
          </w:p>
        </w:tc>
        <w:tc>
          <w:tcPr>
            <w:tcW w:w="2566" w:type="pct"/>
          </w:tcPr>
          <w:p w:rsidR="00FC4E30" w:rsidRPr="00FC4E30" w:rsidRDefault="00FC4E30" w:rsidP="00FC4E30">
            <w:r w:rsidRPr="00FC4E30">
              <w:t>P</w:t>
            </w:r>
            <w:r w:rsidRPr="00FC4E30">
              <w:t>etra</w:t>
            </w:r>
            <w:r w:rsidRPr="00FC4E30">
              <w:t xml:space="preserve"> </w:t>
            </w:r>
            <w:proofErr w:type="spellStart"/>
            <w:r w:rsidRPr="00FC4E30">
              <w:t>Manche</w:t>
            </w:r>
            <w:proofErr w:type="spellEnd"/>
          </w:p>
        </w:tc>
      </w:tr>
      <w:tr w:rsidR="00FC4E30" w:rsidRPr="00FC4E30" w:rsidTr="00D15980">
        <w:trPr>
          <w:trHeight w:val="274"/>
        </w:trPr>
        <w:tc>
          <w:tcPr>
            <w:tcW w:w="2434" w:type="pct"/>
          </w:tcPr>
          <w:p w:rsidR="00FC4E30" w:rsidRPr="00FC4E30" w:rsidRDefault="00FC4E30" w:rsidP="00FC4E30">
            <w:r w:rsidRPr="00FC4E30">
              <w:t>A</w:t>
            </w:r>
            <w:r w:rsidRPr="00FC4E30">
              <w:t>ndy</w:t>
            </w:r>
            <w:r w:rsidRPr="00FC4E30">
              <w:t xml:space="preserve"> </w:t>
            </w:r>
            <w:proofErr w:type="spellStart"/>
            <w:r w:rsidRPr="00FC4E30">
              <w:t>Nissen</w:t>
            </w:r>
            <w:proofErr w:type="spellEnd"/>
          </w:p>
        </w:tc>
        <w:tc>
          <w:tcPr>
            <w:tcW w:w="2566" w:type="pct"/>
          </w:tcPr>
          <w:p w:rsidR="00FC4E30" w:rsidRPr="00FC4E30" w:rsidRDefault="00FC4E30" w:rsidP="00FC4E30">
            <w:r w:rsidRPr="00FC4E30">
              <w:t>Alicia Squires</w:t>
            </w:r>
          </w:p>
        </w:tc>
      </w:tr>
      <w:tr w:rsidR="00FC4E30" w:rsidRPr="00FC4E30" w:rsidTr="00D15980">
        <w:trPr>
          <w:trHeight w:val="274"/>
        </w:trPr>
        <w:tc>
          <w:tcPr>
            <w:tcW w:w="2434" w:type="pct"/>
          </w:tcPr>
          <w:p w:rsidR="00FC4E30" w:rsidRPr="00FC4E30" w:rsidRDefault="00FC4E30" w:rsidP="00FC4E30">
            <w:r w:rsidRPr="00FC4E30">
              <w:t>Brian Smithson</w:t>
            </w:r>
          </w:p>
        </w:tc>
        <w:tc>
          <w:tcPr>
            <w:tcW w:w="2566" w:type="pct"/>
          </w:tcPr>
          <w:p w:rsidR="00FC4E30" w:rsidRPr="00FC4E30" w:rsidRDefault="00FC4E30" w:rsidP="00FC4E30">
            <w:proofErr w:type="spellStart"/>
            <w:r w:rsidRPr="00FC4E30">
              <w:t>A</w:t>
            </w:r>
            <w:r w:rsidRPr="00FC4E30">
              <w:t>shit</w:t>
            </w:r>
            <w:proofErr w:type="spellEnd"/>
            <w:r w:rsidRPr="00FC4E30">
              <w:t xml:space="preserve"> </w:t>
            </w:r>
            <w:proofErr w:type="spellStart"/>
            <w:r w:rsidRPr="00FC4E30">
              <w:t>Vora</w:t>
            </w:r>
            <w:proofErr w:type="spellEnd"/>
          </w:p>
        </w:tc>
      </w:tr>
    </w:tbl>
    <w:p w:rsidR="005644C4" w:rsidRDefault="005644C4" w:rsidP="005644C4">
      <w:pPr>
        <w:pStyle w:val="Heading1"/>
      </w:pPr>
      <w:r>
        <w:t>Agenda</w:t>
      </w:r>
    </w:p>
    <w:p w:rsidR="005644C4" w:rsidRDefault="005644C4" w:rsidP="00FC4E30">
      <w:pPr>
        <w:pStyle w:val="ListParagraph"/>
        <w:numPr>
          <w:ilvl w:val="0"/>
          <w:numId w:val="3"/>
        </w:numPr>
      </w:pPr>
      <w:r>
        <w:t>Open discussion about the general concept</w:t>
      </w:r>
    </w:p>
    <w:p w:rsidR="005644C4" w:rsidRDefault="00FC4E30" w:rsidP="00FC4E30">
      <w:pPr>
        <w:pStyle w:val="ListParagraph"/>
        <w:numPr>
          <w:ilvl w:val="0"/>
          <w:numId w:val="3"/>
        </w:numPr>
      </w:pPr>
      <w:r>
        <w:t>Open discussion about current alternatives</w:t>
      </w:r>
    </w:p>
    <w:p w:rsidR="00FC4E30" w:rsidRDefault="00FC4E30" w:rsidP="00FC4E30">
      <w:pPr>
        <w:pStyle w:val="ListParagraph"/>
        <w:numPr>
          <w:ilvl w:val="0"/>
          <w:numId w:val="3"/>
        </w:numPr>
      </w:pPr>
      <w:r>
        <w:t>Action items / next steps</w:t>
      </w:r>
    </w:p>
    <w:p w:rsidR="005644C4" w:rsidRPr="005644C4" w:rsidRDefault="005644C4" w:rsidP="005644C4">
      <w:pPr>
        <w:pStyle w:val="Heading1"/>
      </w:pPr>
      <w:r>
        <w:t>Notes</w:t>
      </w:r>
    </w:p>
    <w:p w:rsidR="005644C4" w:rsidRDefault="00FC4E30" w:rsidP="005644C4">
      <w:r>
        <w:t>We had a productive discussion about agenda item #1, and didn’t quite get to the other items.</w:t>
      </w:r>
    </w:p>
    <w:p w:rsidR="00E87638" w:rsidRDefault="00E87638" w:rsidP="005644C4">
      <w:r>
        <w:t xml:space="preserve">We discussed what the benefits of incorporation are. Primarily, </w:t>
      </w:r>
      <w:r w:rsidR="00D15980">
        <w:t xml:space="preserve">the </w:t>
      </w:r>
      <w:r w:rsidR="00F26E31">
        <w:t>motivation</w:t>
      </w:r>
      <w:r w:rsidR="00D15980">
        <w:t xml:space="preserve"> to incorporate </w:t>
      </w:r>
      <w:r w:rsidR="00F26E31">
        <w:t>comes from a</w:t>
      </w:r>
      <w:r w:rsidR="00D15980">
        <w:t xml:space="preserve"> need </w:t>
      </w:r>
      <w:r>
        <w:t>to get</w:t>
      </w:r>
      <w:r w:rsidR="00D15980">
        <w:t xml:space="preserve"> collaboration tools that are designed for our purpose</w:t>
      </w:r>
      <w:r w:rsidR="00F26E31">
        <w:t>s</w:t>
      </w:r>
      <w:r w:rsidR="00D15980">
        <w:t xml:space="preserve"> and are</w:t>
      </w:r>
      <w:r>
        <w:t xml:space="preserve"> </w:t>
      </w:r>
      <w:r w:rsidR="00D15980">
        <w:t>professionally supported.</w:t>
      </w:r>
      <w:r>
        <w:t xml:space="preserve"> However, the current concept and alternatives are also designed to outsource some administrative work to a third party. Some of that administrative work is created by incorporation, but much of it (member management and such) is current</w:t>
      </w:r>
      <w:r w:rsidR="00F26E31">
        <w:t>ly a volunteer</w:t>
      </w:r>
      <w:r>
        <w:t xml:space="preserve"> activity performed by the Management Group. Incorporati</w:t>
      </w:r>
      <w:r w:rsidR="00F26E31">
        <w:t>on would also make it possible</w:t>
      </w:r>
      <w:r>
        <w:t xml:space="preserve"> for the CCUF to make its own arrangements for meeting space and hotel block reservations for </w:t>
      </w:r>
      <w:r w:rsidR="00F26E31">
        <w:t xml:space="preserve">the </w:t>
      </w:r>
      <w:r>
        <w:t xml:space="preserve">CCUF-CCDB Workshops, so as not to rely on the benevolence and ability of a CCRA member </w:t>
      </w:r>
      <w:r w:rsidR="00F26E31">
        <w:t xml:space="preserve">nation </w:t>
      </w:r>
      <w:r>
        <w:t>to provide meeting space and other services for the Workshops. Farther in the future, incorporation would make it possible for the CCUF to share some of the burden of organizing</w:t>
      </w:r>
      <w:r w:rsidR="00F26E31">
        <w:t xml:space="preserve"> and conducting</w:t>
      </w:r>
      <w:r>
        <w:t xml:space="preserve"> the ICCC.</w:t>
      </w:r>
    </w:p>
    <w:p w:rsidR="00680E37" w:rsidRDefault="00FC4E30" w:rsidP="005644C4">
      <w:r>
        <w:t>One of the general concerns about incorporation is that it is a “one-shot deal” that we must do correctly because it would be difficult to change after being set up</w:t>
      </w:r>
      <w:r w:rsidR="00E87638">
        <w:t xml:space="preserve"> and agreed to by member organizations</w:t>
      </w:r>
      <w:r>
        <w:t>.</w:t>
      </w:r>
      <w:r w:rsidR="00E87638">
        <w:t xml:space="preserve"> </w:t>
      </w:r>
    </w:p>
    <w:p w:rsidR="00FC4E30" w:rsidRDefault="00FC4E30" w:rsidP="005644C4">
      <w:r>
        <w:t>Other concerns fell largely into one of three categories:</w:t>
      </w:r>
    </w:p>
    <w:p w:rsidR="00FC4E30" w:rsidRDefault="00FC4E30" w:rsidP="00FC4E30">
      <w:pPr>
        <w:pStyle w:val="Heading2"/>
        <w:numPr>
          <w:ilvl w:val="0"/>
          <w:numId w:val="4"/>
        </w:numPr>
      </w:pPr>
      <w:r>
        <w:t>Cost</w:t>
      </w:r>
    </w:p>
    <w:p w:rsidR="00FC4E30" w:rsidRDefault="00FC4E30" w:rsidP="00FC4E30">
      <w:pPr>
        <w:ind w:left="720"/>
      </w:pPr>
      <w:r>
        <w:t>Once concern was that the membership fee might be set too low at the outset, which would make it difficult to significantly increase it later.</w:t>
      </w:r>
    </w:p>
    <w:p w:rsidR="00FC4E30" w:rsidRDefault="00FC4E30" w:rsidP="00FC4E30">
      <w:pPr>
        <w:ind w:left="720"/>
      </w:pPr>
      <w:r>
        <w:t xml:space="preserve">Another concern is that </w:t>
      </w:r>
      <w:r w:rsidR="00E87638">
        <w:t xml:space="preserve">some </w:t>
      </w:r>
      <w:r>
        <w:t xml:space="preserve">organizations </w:t>
      </w:r>
      <w:r w:rsidR="00E87638">
        <w:t xml:space="preserve">who are not particularly active in CCUF WGs or the TCs that it supports </w:t>
      </w:r>
      <w:r>
        <w:t>might leave the CCUF if they are required to pay even a small annual fee</w:t>
      </w:r>
      <w:r w:rsidR="00E87638">
        <w:t xml:space="preserve">. If </w:t>
      </w:r>
      <w:r w:rsidR="00E87638">
        <w:lastRenderedPageBreak/>
        <w:t xml:space="preserve">such organizations find so little value in the CCUF, then perhaps they might not be missed. However, any assumptions about how many industry members would pay an annual fee should be considered carefully, because an unexpectedly large defection could </w:t>
      </w:r>
      <w:r w:rsidR="00680E37">
        <w:t>violate assumptions that are used to set annual fees, making</w:t>
      </w:r>
      <w:r w:rsidR="00E87638">
        <w:t xml:space="preserve"> it necessary </w:t>
      </w:r>
      <w:r w:rsidR="00680E37">
        <w:t>for annual fees to be increased and possibly causing</w:t>
      </w:r>
      <w:r w:rsidR="00E87638">
        <w:t xml:space="preserve"> </w:t>
      </w:r>
      <w:r w:rsidR="00272FB4">
        <w:t>a spiral o</w:t>
      </w:r>
      <w:r w:rsidR="00680E37">
        <w:t xml:space="preserve">f </w:t>
      </w:r>
      <w:r w:rsidR="00E87638">
        <w:t>further defection</w:t>
      </w:r>
      <w:r w:rsidR="00680E37">
        <w:t>s</w:t>
      </w:r>
      <w:r w:rsidR="00E87638">
        <w:t>.</w:t>
      </w:r>
    </w:p>
    <w:p w:rsidR="00272FB4" w:rsidRDefault="00272FB4" w:rsidP="00FC4E30">
      <w:pPr>
        <w:ind w:left="720"/>
      </w:pPr>
      <w:r>
        <w:t xml:space="preserve">One group that might defect from the CCUF is the smartcard community. Since they have their own processes and means of collaboration, and since the CCUF is largely focused on </w:t>
      </w:r>
      <w:proofErr w:type="spellStart"/>
      <w:r>
        <w:t>iTCs</w:t>
      </w:r>
      <w:proofErr w:type="spellEnd"/>
      <w:r>
        <w:t xml:space="preserve"> and </w:t>
      </w:r>
      <w:proofErr w:type="spellStart"/>
      <w:r>
        <w:t>cPPs</w:t>
      </w:r>
      <w:proofErr w:type="spellEnd"/>
      <w:r>
        <w:t xml:space="preserve">, it is understandable that they could see little value in continuing their membership. </w:t>
      </w:r>
    </w:p>
    <w:p w:rsidR="00FC4E30" w:rsidRDefault="00A62800" w:rsidP="00A62800">
      <w:pPr>
        <w:ind w:left="720"/>
      </w:pPr>
      <w:r>
        <w:t xml:space="preserve">We also discussed some options for making participation in </w:t>
      </w:r>
      <w:proofErr w:type="spellStart"/>
      <w:r>
        <w:t>iTCs</w:t>
      </w:r>
      <w:proofErr w:type="spellEnd"/>
      <w:r>
        <w:t xml:space="preserve"> available for free or for a very small annual fee (see Barriers, below), but that raised the question of whether participants would simply opt for the easiest membership option.</w:t>
      </w:r>
    </w:p>
    <w:p w:rsidR="00FC4E30" w:rsidRDefault="00FC4E30" w:rsidP="00FC4E30">
      <w:pPr>
        <w:pStyle w:val="Heading2"/>
        <w:numPr>
          <w:ilvl w:val="0"/>
          <w:numId w:val="4"/>
        </w:numPr>
      </w:pPr>
      <w:r>
        <w:t>Legal</w:t>
      </w:r>
    </w:p>
    <w:p w:rsidR="00A62800" w:rsidRDefault="00A62800" w:rsidP="00A62800">
      <w:pPr>
        <w:ind w:left="720"/>
      </w:pPr>
      <w:r>
        <w:t>No matter how small the annual fee might be, any membership agreement for organizations would likely need to be reviewed by a legal department and signed by someone authorized to sign for such things</w:t>
      </w:r>
      <w:r>
        <w:t>.</w:t>
      </w:r>
      <w:r>
        <w:t xml:space="preserve"> This is quite different from the current model, in which individual members join without a signed agreement and represent their organization.</w:t>
      </w:r>
    </w:p>
    <w:p w:rsidR="00A62800" w:rsidRDefault="00A62800" w:rsidP="00A62800">
      <w:pPr>
        <w:ind w:left="720"/>
      </w:pPr>
      <w:r>
        <w:t xml:space="preserve">Many associations operate on an organizational membership basis and require a signed membership agreement.  However, there are other examples: </w:t>
      </w:r>
    </w:p>
    <w:p w:rsidR="00FC4E30" w:rsidRDefault="00A62800" w:rsidP="00A85065">
      <w:pPr>
        <w:ind w:left="720"/>
      </w:pPr>
      <w:r>
        <w:t>IEEE Standards Association requires an individual membership for balloting on standards, but aside from that, individuals are able to freely participate without any membership or signed agreement (but, then, they sell those standards to fund the IEEE-SA operation). IETF allows individual participation without formal agreement, but it is funded by organizational contributions and revenue from meeting and conference fees and sponsorship. Both organizations are incorporated entities.</w:t>
      </w:r>
    </w:p>
    <w:p w:rsidR="00A85065" w:rsidRDefault="00A85065" w:rsidP="00A85065">
      <w:pPr>
        <w:ind w:left="720"/>
      </w:pPr>
      <w:r>
        <w:t xml:space="preserve">Interestingly, most of the concerns about cost and legal issues were expressed by two of the largest vendors who, presumably, have neither </w:t>
      </w:r>
      <w:r w:rsidR="0010262D">
        <w:t xml:space="preserve">shortages of </w:t>
      </w:r>
      <w:r>
        <w:t xml:space="preserve">cash nor </w:t>
      </w:r>
      <w:proofErr w:type="gramStart"/>
      <w:r>
        <w:t xml:space="preserve">lawyers </w:t>
      </w:r>
      <w:proofErr w:type="gramEnd"/>
      <w:r>
        <w:sym w:font="Wingdings" w:char="F04A"/>
      </w:r>
      <w:r>
        <w:t xml:space="preserve">. </w:t>
      </w:r>
    </w:p>
    <w:p w:rsidR="00FC4E30" w:rsidRDefault="00FC4E30" w:rsidP="00FC4E30">
      <w:pPr>
        <w:pStyle w:val="Heading2"/>
        <w:numPr>
          <w:ilvl w:val="0"/>
          <w:numId w:val="4"/>
        </w:numPr>
      </w:pPr>
      <w:r>
        <w:t>Barriers to participation</w:t>
      </w:r>
    </w:p>
    <w:p w:rsidR="00A85065" w:rsidRDefault="00A85065" w:rsidP="00A85065">
      <w:pPr>
        <w:ind w:left="720"/>
      </w:pPr>
      <w:r>
        <w:t xml:space="preserve">A specific concern about cost or legal is that it creates a barrier to entry for </w:t>
      </w:r>
      <w:proofErr w:type="spellStart"/>
      <w:r>
        <w:t>iTC</w:t>
      </w:r>
      <w:proofErr w:type="spellEnd"/>
      <w:r>
        <w:t xml:space="preserve"> participants. Some participants who are not currently involved in CC activities may find it onerous to need to join the CCUF and pay a fee in order to participate in an </w:t>
      </w:r>
      <w:proofErr w:type="spellStart"/>
      <w:r>
        <w:t>iTC</w:t>
      </w:r>
      <w:proofErr w:type="spellEnd"/>
      <w:r>
        <w:t xml:space="preserve">. We discussed the possibility of having a reduced- or no-fee option for participation limited to one </w:t>
      </w:r>
      <w:proofErr w:type="spellStart"/>
      <w:r>
        <w:t>iTC</w:t>
      </w:r>
      <w:proofErr w:type="spellEnd"/>
      <w:r>
        <w:t xml:space="preserve">, perhaps to join the </w:t>
      </w:r>
      <w:proofErr w:type="spellStart"/>
      <w:r>
        <w:t>iTC</w:t>
      </w:r>
      <w:proofErr w:type="spellEnd"/>
      <w:r>
        <w:t xml:space="preserve"> but not the CCUF and therefore not requiring a signed membership agreement. This raised the question mentioned above in “Cost” about participants opting for the cheapest, easiest route.</w:t>
      </w:r>
    </w:p>
    <w:p w:rsidR="00A85065" w:rsidRDefault="00A85065" w:rsidP="00A85065">
      <w:pPr>
        <w:ind w:left="720"/>
      </w:pPr>
      <w:r>
        <w:t xml:space="preserve">Since the new </w:t>
      </w:r>
      <w:proofErr w:type="spellStart"/>
      <w:r>
        <w:t>iTC</w:t>
      </w:r>
      <w:proofErr w:type="spellEnd"/>
      <w:r>
        <w:t>/</w:t>
      </w:r>
      <w:proofErr w:type="spellStart"/>
      <w:r>
        <w:t>cPP</w:t>
      </w:r>
      <w:proofErr w:type="spellEnd"/>
      <w:r>
        <w:t xml:space="preserve"> process requires some public comment facility already, this may or may not really be a problem for the CCUF to solve. The public comment mechanism might satisfy the </w:t>
      </w:r>
      <w:r>
        <w:lastRenderedPageBreak/>
        <w:t>need for a no-fee</w:t>
      </w:r>
      <w:r w:rsidR="0010262D">
        <w:t>,</w:t>
      </w:r>
      <w:r>
        <w:t xml:space="preserve"> no-agreement way to participate through the CC portal, as it is today, or through a limited public-facing capability </w:t>
      </w:r>
      <w:r w:rsidR="0010262D">
        <w:t>provided by a new CCUF toolset</w:t>
      </w:r>
      <w:r>
        <w:t>.</w:t>
      </w:r>
    </w:p>
    <w:p w:rsidR="00A85065" w:rsidRDefault="0010262D" w:rsidP="00272FB4">
      <w:pPr>
        <w:ind w:left="720"/>
      </w:pPr>
      <w:r>
        <w:t>In any case</w:t>
      </w:r>
      <w:r w:rsidR="00272FB4">
        <w:t xml:space="preserve">, as long as the CCRA doesn’t require that </w:t>
      </w:r>
      <w:proofErr w:type="spellStart"/>
      <w:r w:rsidR="00272FB4">
        <w:t>iTCs</w:t>
      </w:r>
      <w:proofErr w:type="spellEnd"/>
      <w:r w:rsidR="00272FB4">
        <w:t xml:space="preserve"> are hosted by the CCUF, </w:t>
      </w:r>
      <w:proofErr w:type="spellStart"/>
      <w:r w:rsidR="00272FB4">
        <w:t>iTCs</w:t>
      </w:r>
      <w:proofErr w:type="spellEnd"/>
      <w:r w:rsidR="00272FB4">
        <w:t xml:space="preserve"> would have the freedom (as they do now) to find other means of communicating and collaborating. </w:t>
      </w:r>
      <w:r>
        <w:t>If they wish to use the CCUF’s tools, they would need to agree to join as CCUF members.</w:t>
      </w:r>
    </w:p>
    <w:p w:rsidR="00272FB4" w:rsidRDefault="00272FB4" w:rsidP="00272FB4">
      <w:pPr>
        <w:ind w:left="720"/>
      </w:pPr>
      <w:r>
        <w:t xml:space="preserve">Another concern about the barrier to participation had to do with the Workshops. Members have said that they value the opportunity to work with CC schemes during the Workshops, but a fee-paying membership requirement might be seen as preventing access to those government agencies. </w:t>
      </w:r>
      <w:r w:rsidR="0010262D">
        <w:t>However, if the CCUF is paying for meeting arrangements for the Workshops, it is not unreasonable to charge admission. We could, as many other organizations do, allow non-members to join the Workshops by paying a non-member admission fee.</w:t>
      </w:r>
    </w:p>
    <w:p w:rsidR="00FC4E30" w:rsidRDefault="00272FB4" w:rsidP="005644C4">
      <w:r>
        <w:t>Much of this discussion raised the issue of “what is the value of joining the CCUF”, whether or not it requires an annual fee and a membership agreement. Many CCUF members already spend a significant amount of time and travel expense to participate because:</w:t>
      </w:r>
    </w:p>
    <w:p w:rsidR="00272FB4" w:rsidRDefault="00272FB4" w:rsidP="00272FB4">
      <w:pPr>
        <w:pStyle w:val="ListParagraph"/>
        <w:numPr>
          <w:ilvl w:val="0"/>
          <w:numId w:val="5"/>
        </w:numPr>
      </w:pPr>
      <w:r>
        <w:t>They invest a lot of money in certifying products</w:t>
      </w:r>
      <w:r w:rsidR="0010262D">
        <w:t>, and t</w:t>
      </w:r>
      <w:r>
        <w:t>he target market for certified products is a significant source of revenue</w:t>
      </w:r>
    </w:p>
    <w:p w:rsidR="0010262D" w:rsidRDefault="0010262D" w:rsidP="00272FB4">
      <w:pPr>
        <w:pStyle w:val="ListParagraph"/>
        <w:numPr>
          <w:ilvl w:val="0"/>
          <w:numId w:val="5"/>
        </w:numPr>
      </w:pPr>
      <w:r>
        <w:t xml:space="preserve">It </w:t>
      </w:r>
      <w:r>
        <w:t xml:space="preserve">provides opportunities </w:t>
      </w:r>
      <w:r>
        <w:t>to coordinate with CC schemes and others in the CC community</w:t>
      </w:r>
    </w:p>
    <w:p w:rsidR="00272FB4" w:rsidRDefault="0010262D" w:rsidP="00272FB4">
      <w:pPr>
        <w:pStyle w:val="ListParagraph"/>
        <w:numPr>
          <w:ilvl w:val="0"/>
          <w:numId w:val="5"/>
        </w:numPr>
      </w:pPr>
      <w:r>
        <w:t xml:space="preserve">It is a way to </w:t>
      </w:r>
      <w:r w:rsidR="00272FB4">
        <w:t>learn about what’s happening</w:t>
      </w:r>
      <w:r>
        <w:t xml:space="preserve"> in the CC and to influence it</w:t>
      </w:r>
    </w:p>
    <w:p w:rsidR="005644C4" w:rsidRDefault="005644C4" w:rsidP="005644C4">
      <w:pPr>
        <w:pStyle w:val="Heading1"/>
      </w:pPr>
      <w:r>
        <w:t>Next meeting</w:t>
      </w:r>
    </w:p>
    <w:p w:rsidR="0010262D" w:rsidRPr="0010262D" w:rsidRDefault="0010262D" w:rsidP="0010262D">
      <w:r>
        <w:t>The next teleconference will be held on Friday, October 17, 2014, at the same time (8AM PDT). Details and agenda will be announced.</w:t>
      </w:r>
      <w:bookmarkEnd w:id="0"/>
    </w:p>
    <w:sectPr w:rsidR="0010262D" w:rsidRPr="001026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507F6"/>
    <w:multiLevelType w:val="hybridMultilevel"/>
    <w:tmpl w:val="3CE0C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F26448"/>
    <w:multiLevelType w:val="hybridMultilevel"/>
    <w:tmpl w:val="52A4C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9C3786"/>
    <w:multiLevelType w:val="hybridMultilevel"/>
    <w:tmpl w:val="C2386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CA279E"/>
    <w:multiLevelType w:val="hybridMultilevel"/>
    <w:tmpl w:val="2D848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506D48"/>
    <w:multiLevelType w:val="hybridMultilevel"/>
    <w:tmpl w:val="87E6E9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4C4"/>
    <w:rsid w:val="0010262D"/>
    <w:rsid w:val="00272FB4"/>
    <w:rsid w:val="005644C4"/>
    <w:rsid w:val="00680E37"/>
    <w:rsid w:val="00A62800"/>
    <w:rsid w:val="00A85065"/>
    <w:rsid w:val="00D15980"/>
    <w:rsid w:val="00E87638"/>
    <w:rsid w:val="00EF0E66"/>
    <w:rsid w:val="00F26E31"/>
    <w:rsid w:val="00FC4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644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4E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44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44C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644C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644C4"/>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5644C4"/>
    <w:rPr>
      <w:i/>
      <w:iCs/>
      <w:color w:val="808080" w:themeColor="text1" w:themeTint="7F"/>
    </w:rPr>
  </w:style>
  <w:style w:type="character" w:customStyle="1" w:styleId="Heading1Char">
    <w:name w:val="Heading 1 Char"/>
    <w:basedOn w:val="DefaultParagraphFont"/>
    <w:link w:val="Heading1"/>
    <w:uiPriority w:val="9"/>
    <w:rsid w:val="005644C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44C4"/>
    <w:pPr>
      <w:ind w:left="720"/>
      <w:contextualSpacing/>
    </w:pPr>
  </w:style>
  <w:style w:type="table" w:styleId="TableGrid">
    <w:name w:val="Table Grid"/>
    <w:basedOn w:val="TableNormal"/>
    <w:uiPriority w:val="59"/>
    <w:rsid w:val="00FC4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C4E3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644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4E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44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44C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644C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644C4"/>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5644C4"/>
    <w:rPr>
      <w:i/>
      <w:iCs/>
      <w:color w:val="808080" w:themeColor="text1" w:themeTint="7F"/>
    </w:rPr>
  </w:style>
  <w:style w:type="character" w:customStyle="1" w:styleId="Heading1Char">
    <w:name w:val="Heading 1 Char"/>
    <w:basedOn w:val="DefaultParagraphFont"/>
    <w:link w:val="Heading1"/>
    <w:uiPriority w:val="9"/>
    <w:rsid w:val="005644C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44C4"/>
    <w:pPr>
      <w:ind w:left="720"/>
      <w:contextualSpacing/>
    </w:pPr>
  </w:style>
  <w:style w:type="table" w:styleId="TableGrid">
    <w:name w:val="Table Grid"/>
    <w:basedOn w:val="TableNormal"/>
    <w:uiPriority w:val="59"/>
    <w:rsid w:val="00FC4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C4E3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Ricoh</Company>
  <LinksUpToDate>false</LinksUpToDate>
  <CharactersWithSpaces>6486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bsmithson</dc:creator>
  <cp:lastModifiedBy>bsmithson</cp:lastModifiedBy>
  <cp:revision>3</cp:revision>
  <dcterms:created xsi:type="dcterms:W3CDTF">2014-10-03T22:47:00Z</dcterms:created>
  <dcterms:modified xsi:type="dcterms:W3CDTF">2014-10-04T00:12:00Z</dcterms:modified>
</cp:coreProperties>
</file>