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95918" w14:textId="77777777" w:rsidR="00586686" w:rsidRDefault="00106F83" w:rsidP="00703DDD">
      <w:pPr>
        <w:pStyle w:val="Heading1"/>
        <w:spacing w:before="0"/>
        <w:rPr>
          <w:rFonts w:hint="default"/>
        </w:rPr>
      </w:pPr>
      <w:r>
        <w:t>Common Criteria FAQ</w:t>
      </w:r>
    </w:p>
    <w:p w14:paraId="5B7B943B" w14:textId="77777777" w:rsidR="00586686" w:rsidRDefault="00106F83">
      <w:pPr>
        <w:pStyle w:val="Heading3"/>
        <w:rPr>
          <w:rFonts w:hint="default"/>
        </w:rPr>
      </w:pPr>
      <w:r>
        <w:t>What is the Common Criteria?</w:t>
      </w:r>
    </w:p>
    <w:p w14:paraId="2EF28336" w14:textId="77777777" w:rsidR="00586686" w:rsidRDefault="00106F83">
      <w:pPr>
        <w:rPr>
          <w:rFonts w:hint="default"/>
        </w:rPr>
      </w:pPr>
      <w:r>
        <w:t xml:space="preserve">The Common Criteria (CC) is an international standard (ISO/IEC 15408) for evaluating the security properties of IT products and systems.  It defines a framework for the oversight of evaluations, syntax for specifying the security requirements to be met and a methodology for evaluating those requirements. The CC is used by governments and other organizations around the world to assess the security of information technology products and is often specified as a pre-requisite to procurement. </w:t>
      </w:r>
    </w:p>
    <w:p w14:paraId="28A0780C" w14:textId="77777777" w:rsidR="00B04E0C" w:rsidRPr="00B04E0C" w:rsidRDefault="00106F83" w:rsidP="00B04E0C">
      <w:pPr>
        <w:rPr>
          <w:rFonts w:hint="default"/>
        </w:rPr>
      </w:pPr>
      <w:r>
        <w:t xml:space="preserve">See </w:t>
      </w:r>
      <w:hyperlink r:id="rId9" w:history="1">
        <w:r>
          <w:rPr>
            <w:rStyle w:val="Hyperlink"/>
          </w:rPr>
          <w:t>www.commoncriteriaportal.org</w:t>
        </w:r>
      </w:hyperlink>
      <w:r>
        <w:t xml:space="preserve"> for more information or to obtain the standard.</w:t>
      </w:r>
    </w:p>
    <w:p w14:paraId="2F2A3E80" w14:textId="77777777" w:rsidR="00586686" w:rsidRDefault="00106F83">
      <w:pPr>
        <w:pStyle w:val="Heading3"/>
        <w:rPr>
          <w:rFonts w:hint="default"/>
        </w:rPr>
      </w:pPr>
      <w:r>
        <w:t>Who recognizes CC certificates?</w:t>
      </w:r>
    </w:p>
    <w:p w14:paraId="02AC7BB0" w14:textId="75E67AB2" w:rsidR="00586686" w:rsidRDefault="00106F83">
      <w:pPr>
        <w:rPr>
          <w:rFonts w:hint="default"/>
        </w:rPr>
      </w:pPr>
      <w:r>
        <w:t xml:space="preserve">At the time of writing: Australia, Austria, Canada, Czech Republic, Denmark, Finland, France, Germany, Greece, Hungary, India, Israel, Italy, Japan, Republic of Korea, Malaysia, the Netherlands, New Zealand, Norway, Pakistan, Singapore, Spain, Sweden, Turkey, the United Kingdom and the United States.  The up to date list </w:t>
      </w:r>
      <w:r w:rsidR="00E76036">
        <w:rPr>
          <w:rFonts w:hint="default"/>
        </w:rPr>
        <w:t xml:space="preserve">of participant nations </w:t>
      </w:r>
      <w:r>
        <w:t xml:space="preserve">is maintained on </w:t>
      </w:r>
      <w:hyperlink r:id="rId10" w:history="1">
        <w:r>
          <w:rPr>
            <w:rStyle w:val="Hyperlink"/>
          </w:rPr>
          <w:t>www.commoncriteriaportal.org</w:t>
        </w:r>
      </w:hyperlink>
      <w:r>
        <w:t>.</w:t>
      </w:r>
      <w:r>
        <w:rPr>
          <w:rFonts w:hint="default"/>
        </w:rPr>
        <w:t xml:space="preserve"> </w:t>
      </w:r>
      <w:r w:rsidR="00E76036" w:rsidRPr="00E76036">
        <w:rPr>
          <w:rFonts w:hint="default"/>
        </w:rPr>
        <w:t>Other nations and organizations may also make use of CC certificates.</w:t>
      </w:r>
    </w:p>
    <w:p w14:paraId="2E11B17B" w14:textId="77777777" w:rsidR="00586686" w:rsidRDefault="00106F83">
      <w:pPr>
        <w:pStyle w:val="Heading3"/>
        <w:rPr>
          <w:rFonts w:hint="default"/>
        </w:rPr>
      </w:pPr>
      <w:r>
        <w:t>What is the CC evaluation process?</w:t>
      </w:r>
    </w:p>
    <w:p w14:paraId="77D28B68" w14:textId="77777777" w:rsidR="00586686" w:rsidRDefault="00106F83">
      <w:pPr>
        <w:rPr>
          <w:rFonts w:hint="default"/>
        </w:rPr>
      </w:pPr>
      <w:r>
        <w:t>There are three parties involved in the CC evaluation process:</w:t>
      </w:r>
    </w:p>
    <w:p w14:paraId="633B0FD0" w14:textId="77777777" w:rsidR="00586686" w:rsidRDefault="00106F83">
      <w:pPr>
        <w:numPr>
          <w:ilvl w:val="0"/>
          <w:numId w:val="5"/>
        </w:numPr>
        <w:rPr>
          <w:rFonts w:hint="default"/>
        </w:rPr>
      </w:pPr>
      <w:r>
        <w:rPr>
          <w:b/>
        </w:rPr>
        <w:t xml:space="preserve">Vendor or Sponsor. </w:t>
      </w:r>
      <w:r>
        <w:t>The vendor engages an accredited lab and submits their product and associated evidence for evaluation.</w:t>
      </w:r>
    </w:p>
    <w:p w14:paraId="6BDA824A" w14:textId="77777777" w:rsidR="00586686" w:rsidRDefault="00106F83">
      <w:pPr>
        <w:numPr>
          <w:ilvl w:val="0"/>
          <w:numId w:val="5"/>
        </w:numPr>
        <w:rPr>
          <w:rFonts w:hint="default"/>
        </w:rPr>
      </w:pPr>
      <w:r>
        <w:rPr>
          <w:b/>
        </w:rPr>
        <w:t>Lab.</w:t>
      </w:r>
      <w:r>
        <w:t xml:space="preserve"> The lab performs the evaluation and reports evaluation results to the scheme. Evaluation is iterative in nature and the vendor is able to address findings during the evaluation.</w:t>
      </w:r>
    </w:p>
    <w:p w14:paraId="38C54805" w14:textId="77777777" w:rsidR="00586686" w:rsidRDefault="00106F83">
      <w:pPr>
        <w:numPr>
          <w:ilvl w:val="0"/>
          <w:numId w:val="5"/>
        </w:numPr>
        <w:rPr>
          <w:rFonts w:hint="default"/>
        </w:rPr>
      </w:pPr>
      <w:r>
        <w:rPr>
          <w:b/>
        </w:rPr>
        <w:t>Scheme.</w:t>
      </w:r>
      <w:r>
        <w:t xml:space="preserve"> Certificate authorizing schemes (also known as a certification body) issue CC certificates and perform certification/validation oversight of the lab. Each scheme has its own policies with regard to how the CC is used in that country and what products may be accepted into evaluation.</w:t>
      </w:r>
    </w:p>
    <w:p w14:paraId="0368BA77" w14:textId="77777777" w:rsidR="00586686" w:rsidRDefault="00106F83">
      <w:pPr>
        <w:pStyle w:val="Heading3"/>
        <w:rPr>
          <w:rFonts w:hint="default"/>
        </w:rPr>
      </w:pPr>
      <w:r>
        <w:t>What gets evaluated?</w:t>
      </w:r>
    </w:p>
    <w:p w14:paraId="63C6281E" w14:textId="77777777" w:rsidR="00586686" w:rsidRDefault="00106F83">
      <w:pPr>
        <w:rPr>
          <w:rFonts w:hint="default"/>
        </w:rPr>
      </w:pPr>
      <w:r>
        <w:t>The following provides a high-level overview of what gets evaluated:</w:t>
      </w:r>
    </w:p>
    <w:p w14:paraId="43FDEC47" w14:textId="77777777" w:rsidR="00586686" w:rsidRDefault="00106F83">
      <w:pPr>
        <w:numPr>
          <w:ilvl w:val="0"/>
          <w:numId w:val="2"/>
        </w:numPr>
        <w:rPr>
          <w:rFonts w:hint="default"/>
        </w:rPr>
      </w:pPr>
      <w:r>
        <w:rPr>
          <w:b/>
        </w:rPr>
        <w:t>Security Target evaluation.</w:t>
      </w:r>
      <w:r>
        <w:t xml:space="preserve"> Evaluation of the Security Target (ST) - a claims document that specifies the </w:t>
      </w:r>
      <w:r w:rsidR="004C0812">
        <w:rPr>
          <w:rFonts w:hint="default"/>
        </w:rPr>
        <w:t xml:space="preserve">security </w:t>
      </w:r>
      <w:r>
        <w:t xml:space="preserve">functions under evaluation and the </w:t>
      </w:r>
      <w:r w:rsidR="004C0812">
        <w:rPr>
          <w:rFonts w:hint="default"/>
        </w:rPr>
        <w:t xml:space="preserve">security </w:t>
      </w:r>
      <w:r>
        <w:t>assurance requirements being met.</w:t>
      </w:r>
    </w:p>
    <w:p w14:paraId="7F5E306A" w14:textId="77777777" w:rsidR="00586686" w:rsidRDefault="00106F83">
      <w:pPr>
        <w:numPr>
          <w:ilvl w:val="0"/>
          <w:numId w:val="2"/>
        </w:numPr>
        <w:rPr>
          <w:rFonts w:hint="default"/>
        </w:rPr>
      </w:pPr>
      <w:r>
        <w:rPr>
          <w:b/>
        </w:rPr>
        <w:t>Protection Profile evaluation.</w:t>
      </w:r>
      <w:r>
        <w:t xml:space="preserve"> Evaluation of the Protection Profile (PP) – an implementation-independent statement of security needs for a technology type.</w:t>
      </w:r>
    </w:p>
    <w:p w14:paraId="5B743D6E" w14:textId="77777777" w:rsidR="00586686" w:rsidRDefault="00106F83">
      <w:pPr>
        <w:numPr>
          <w:ilvl w:val="0"/>
          <w:numId w:val="2"/>
        </w:numPr>
        <w:rPr>
          <w:rFonts w:hint="default"/>
        </w:rPr>
      </w:pPr>
      <w:r>
        <w:rPr>
          <w:b/>
        </w:rPr>
        <w:t>Design evaluation.</w:t>
      </w:r>
      <w:r>
        <w:t xml:space="preserve"> Evaluation of design documents - at the most basic level this will simply be an interface specification. Depending on the assurance requirements this can include multiple layers of very detailed design specs and source code review (this is becoming less common).</w:t>
      </w:r>
    </w:p>
    <w:p w14:paraId="15658698" w14:textId="77777777" w:rsidR="00586686" w:rsidRDefault="00106F83">
      <w:pPr>
        <w:numPr>
          <w:ilvl w:val="0"/>
          <w:numId w:val="2"/>
        </w:numPr>
        <w:rPr>
          <w:rFonts w:hint="default"/>
        </w:rPr>
      </w:pPr>
      <w:r>
        <w:rPr>
          <w:b/>
        </w:rPr>
        <w:lastRenderedPageBreak/>
        <w:t>Guidance evaluation.</w:t>
      </w:r>
      <w:r>
        <w:t xml:space="preserve"> Evaluation of all the guidance documents that are shipped with the product and any CC specific addendum or ‘Secure Installation Guide’ for achieving the evaluated configuration.</w:t>
      </w:r>
    </w:p>
    <w:p w14:paraId="72E942B1" w14:textId="77777777" w:rsidR="00586686" w:rsidRDefault="00106F83">
      <w:pPr>
        <w:numPr>
          <w:ilvl w:val="0"/>
          <w:numId w:val="2"/>
        </w:numPr>
        <w:rPr>
          <w:rFonts w:hint="default"/>
        </w:rPr>
      </w:pPr>
      <w:r>
        <w:rPr>
          <w:b/>
        </w:rPr>
        <w:t>Life-cycle evaluation.</w:t>
      </w:r>
      <w:r>
        <w:t xml:space="preserve"> Evaluation of configuration management practices, delivery procedures and security bug tracking (flaw remediation). Can also include development practices and site security audits. </w:t>
      </w:r>
    </w:p>
    <w:p w14:paraId="79B07975" w14:textId="77777777" w:rsidR="00586686" w:rsidRDefault="00106F83">
      <w:pPr>
        <w:numPr>
          <w:ilvl w:val="0"/>
          <w:numId w:val="2"/>
        </w:numPr>
        <w:rPr>
          <w:rFonts w:hint="default"/>
        </w:rPr>
      </w:pPr>
      <w:r>
        <w:rPr>
          <w:b/>
        </w:rPr>
        <w:t>Functional testing.</w:t>
      </w:r>
      <w:r>
        <w:t xml:space="preserve"> The evaluators repeat a sample of the developer’s functional tests and come up with some independent tests to confirm the operation of the security functions as specified.</w:t>
      </w:r>
    </w:p>
    <w:p w14:paraId="023072C5" w14:textId="5A48BFCE" w:rsidR="00586686" w:rsidRDefault="00106F83">
      <w:pPr>
        <w:numPr>
          <w:ilvl w:val="0"/>
          <w:numId w:val="2"/>
        </w:numPr>
        <w:rPr>
          <w:rFonts w:hint="default"/>
        </w:rPr>
      </w:pPr>
      <w:r>
        <w:rPr>
          <w:b/>
        </w:rPr>
        <w:t>Penetration testing.</w:t>
      </w:r>
      <w:r>
        <w:t xml:space="preserve"> </w:t>
      </w:r>
      <w:r w:rsidRPr="00E76036">
        <w:t xml:space="preserve">The evaluators </w:t>
      </w:r>
      <w:r w:rsidR="004C0812" w:rsidRPr="00E76036">
        <w:rPr>
          <w:rFonts w:hint="default"/>
        </w:rPr>
        <w:t xml:space="preserve">perform </w:t>
      </w:r>
      <w:r w:rsidR="00E76036" w:rsidRPr="00E76036">
        <w:rPr>
          <w:rFonts w:hint="default"/>
        </w:rPr>
        <w:t xml:space="preserve">vulnerability analysis </w:t>
      </w:r>
      <w:r w:rsidR="00E76036">
        <w:rPr>
          <w:rFonts w:hint="default"/>
        </w:rPr>
        <w:t>and penetration testing</w:t>
      </w:r>
      <w:r w:rsidRPr="00E76036">
        <w:t>.</w:t>
      </w:r>
      <w:r>
        <w:t xml:space="preserve"> </w:t>
      </w:r>
    </w:p>
    <w:p w14:paraId="17AFAD63" w14:textId="77777777" w:rsidR="00586686" w:rsidRDefault="00106F83">
      <w:pPr>
        <w:rPr>
          <w:rFonts w:hint="default"/>
        </w:rPr>
      </w:pPr>
      <w:r>
        <w:t xml:space="preserve">Whether a particular evaluation activity gets performed is dependent on the assurance requirements that are specified in the ST. </w:t>
      </w:r>
    </w:p>
    <w:p w14:paraId="499B5CD3" w14:textId="77777777" w:rsidR="00586686" w:rsidRDefault="00106F83">
      <w:pPr>
        <w:pStyle w:val="Heading3"/>
        <w:rPr>
          <w:rFonts w:hint="default"/>
        </w:rPr>
      </w:pPr>
      <w:r>
        <w:t>What is a Security Target?</w:t>
      </w:r>
    </w:p>
    <w:p w14:paraId="6844DB6C" w14:textId="580135F0" w:rsidR="00586686" w:rsidRDefault="00106F83">
      <w:pPr>
        <w:rPr>
          <w:rFonts w:hint="default"/>
        </w:rPr>
      </w:pPr>
      <w:r>
        <w:t>A Security Target is the document that defines the Target of Evaluation (TOE</w:t>
      </w:r>
      <w:r w:rsidRPr="00E76036">
        <w:t>), that is, the product configuration and version, and scope of security functionality being evaluated.</w:t>
      </w:r>
      <w:r w:rsidR="004C0812" w:rsidRPr="00E76036">
        <w:rPr>
          <w:rFonts w:hint="default"/>
        </w:rPr>
        <w:t xml:space="preserve"> </w:t>
      </w:r>
      <w:r w:rsidRPr="00E76036">
        <w:t>The CC allows the TOE to</w:t>
      </w:r>
      <w:r>
        <w:t xml:space="preserve"> be all or part of a product or system.  The Security Target is put together using CC constructs</w:t>
      </w:r>
      <w:r w:rsidR="00211E9C">
        <w:rPr>
          <w:rFonts w:hint="default"/>
        </w:rPr>
        <w:t xml:space="preserve"> and</w:t>
      </w:r>
      <w:r w:rsidR="00211E9C" w:rsidRPr="00E76036">
        <w:rPr>
          <w:rFonts w:hint="default"/>
        </w:rPr>
        <w:t xml:space="preserve"> includes </w:t>
      </w:r>
      <w:r w:rsidR="00211E9C">
        <w:rPr>
          <w:rFonts w:hint="default"/>
        </w:rPr>
        <w:t xml:space="preserve">a </w:t>
      </w:r>
      <w:r w:rsidR="00211E9C" w:rsidRPr="00E76036">
        <w:rPr>
          <w:rFonts w:hint="default"/>
        </w:rPr>
        <w:t xml:space="preserve">threat model, </w:t>
      </w:r>
      <w:r w:rsidR="00211E9C">
        <w:rPr>
          <w:rFonts w:hint="default"/>
        </w:rPr>
        <w:t xml:space="preserve">environmental </w:t>
      </w:r>
      <w:r w:rsidR="00211E9C">
        <w:rPr>
          <w:rFonts w:hint="default"/>
        </w:rPr>
        <w:t xml:space="preserve">assumptions, </w:t>
      </w:r>
      <w:r w:rsidR="00211E9C" w:rsidRPr="00E76036">
        <w:rPr>
          <w:rFonts w:hint="default"/>
        </w:rPr>
        <w:t>security objectives</w:t>
      </w:r>
      <w:r w:rsidR="00211E9C">
        <w:rPr>
          <w:rFonts w:hint="default"/>
        </w:rPr>
        <w:t xml:space="preserve">, security </w:t>
      </w:r>
      <w:r>
        <w:t>function</w:t>
      </w:r>
      <w:r w:rsidR="00211E9C">
        <w:rPr>
          <w:rFonts w:hint="default"/>
        </w:rPr>
        <w:t>al requirements</w:t>
      </w:r>
      <w:r>
        <w:t xml:space="preserve"> and </w:t>
      </w:r>
      <w:r w:rsidR="00211E9C">
        <w:rPr>
          <w:rFonts w:hint="default"/>
        </w:rPr>
        <w:t xml:space="preserve">security </w:t>
      </w:r>
      <w:r>
        <w:t xml:space="preserve">assurance requirements.  A Security Target may conform to a Protection Profile but is not required to. A Security Target (written by vendor) goes beyond a Protection Profile (written by consumer) by including a description of how the product achieves the defined requirements. </w:t>
      </w:r>
    </w:p>
    <w:p w14:paraId="34A2B718" w14:textId="77777777" w:rsidR="00586686" w:rsidRDefault="00106F83">
      <w:pPr>
        <w:rPr>
          <w:rFonts w:hint="default"/>
        </w:rPr>
      </w:pPr>
      <w:r>
        <w:t xml:space="preserve">Security Target examples may be found at </w:t>
      </w:r>
      <w:hyperlink r:id="rId11" w:history="1">
        <w:r>
          <w:rPr>
            <w:rStyle w:val="Hyperlink"/>
          </w:rPr>
          <w:t>http://www.commoncriteriaportal.org/products.html</w:t>
        </w:r>
      </w:hyperlink>
      <w:r>
        <w:t xml:space="preserve"> </w:t>
      </w:r>
    </w:p>
    <w:p w14:paraId="6156ED08" w14:textId="77777777" w:rsidR="00586686" w:rsidRDefault="00106F83">
      <w:pPr>
        <w:pStyle w:val="Heading3"/>
        <w:rPr>
          <w:rFonts w:hint="default"/>
        </w:rPr>
      </w:pPr>
      <w:r>
        <w:t>What is a Protection Profile?</w:t>
      </w:r>
    </w:p>
    <w:p w14:paraId="282FED47" w14:textId="532E561F" w:rsidR="00F76082" w:rsidRDefault="00106F83">
      <w:pPr>
        <w:rPr>
          <w:rFonts w:hint="default"/>
        </w:rPr>
      </w:pPr>
      <w:r>
        <w:t xml:space="preserve">A Protection Profile is a requirements statement put together using CC constructs. </w:t>
      </w:r>
      <w:r w:rsidR="00E76036">
        <w:rPr>
          <w:rFonts w:hint="default"/>
        </w:rPr>
        <w:t>Protection Profiles</w:t>
      </w:r>
      <w:r>
        <w:t xml:space="preserve"> are generally published by governments for a specific technology type, for example, Firewalls, as part of procurement policy. A Protection Profile specifies both functio</w:t>
      </w:r>
      <w:r w:rsidR="004C0812">
        <w:t>nal and assurance requirements.</w:t>
      </w:r>
      <w:r>
        <w:t xml:space="preserve">  It is not necessary for a Security Target to claim </w:t>
      </w:r>
      <w:r w:rsidR="00F76082">
        <w:rPr>
          <w:rFonts w:hint="default"/>
        </w:rPr>
        <w:t>conformance</w:t>
      </w:r>
      <w:r>
        <w:t xml:space="preserve"> to a Protection Profile</w:t>
      </w:r>
      <w:r w:rsidR="00E76036">
        <w:rPr>
          <w:rFonts w:hint="default"/>
        </w:rPr>
        <w:t xml:space="preserve"> however</w:t>
      </w:r>
      <w:r w:rsidR="00F76082">
        <w:rPr>
          <w:rFonts w:hint="default"/>
        </w:rPr>
        <w:t xml:space="preserve"> some schemes will only accept products into evaluation that claim conformance with scheme approved Protection Profiles.</w:t>
      </w:r>
      <w:r w:rsidR="00F822B6">
        <w:rPr>
          <w:rFonts w:hint="default"/>
        </w:rPr>
        <w:t xml:space="preserve"> A given product may conform to multiple Protection Profiles.</w:t>
      </w:r>
    </w:p>
    <w:p w14:paraId="33AAB6CF" w14:textId="2477FB9A" w:rsidR="00F822B6" w:rsidRDefault="00F822B6">
      <w:pPr>
        <w:rPr>
          <w:rFonts w:hint="default"/>
        </w:rPr>
      </w:pPr>
      <w:r>
        <w:rPr>
          <w:rFonts w:hint="default"/>
        </w:rPr>
        <w:t xml:space="preserve">A centralized repository of Protection Profiles is published at </w:t>
      </w:r>
      <w:hyperlink r:id="rId12" w:history="1">
        <w:r w:rsidR="00C93BA2" w:rsidRPr="00173721">
          <w:rPr>
            <w:rStyle w:val="Hyperlink"/>
            <w:rFonts w:hint="default"/>
          </w:rPr>
          <w:t>http://www.commoncriteriaportal.org/pps/</w:t>
        </w:r>
      </w:hyperlink>
      <w:r w:rsidR="00C93BA2">
        <w:rPr>
          <w:rFonts w:hint="default"/>
        </w:rPr>
        <w:t xml:space="preserve"> </w:t>
      </w:r>
    </w:p>
    <w:p w14:paraId="29FC0808" w14:textId="347B8004" w:rsidR="00C93BA2" w:rsidRDefault="00C93BA2">
      <w:pPr>
        <w:rPr>
          <w:rFonts w:hint="default"/>
          <w:b/>
        </w:rPr>
      </w:pPr>
      <w:r>
        <w:rPr>
          <w:rFonts w:hint="default"/>
          <w:b/>
        </w:rPr>
        <w:t>What is a Collaborative Protection Profile (</w:t>
      </w:r>
      <w:proofErr w:type="spellStart"/>
      <w:r>
        <w:rPr>
          <w:rFonts w:hint="default"/>
          <w:b/>
        </w:rPr>
        <w:t>cPP</w:t>
      </w:r>
      <w:proofErr w:type="spellEnd"/>
      <w:r>
        <w:rPr>
          <w:rFonts w:hint="default"/>
          <w:b/>
        </w:rPr>
        <w:t>)?</w:t>
      </w:r>
    </w:p>
    <w:p w14:paraId="103E65FA" w14:textId="644AAE00" w:rsidR="002739E4" w:rsidRDefault="00C93BA2">
      <w:pPr>
        <w:rPr>
          <w:rFonts w:hint="default"/>
        </w:rPr>
      </w:pPr>
      <w:r>
        <w:rPr>
          <w:rFonts w:hint="default"/>
        </w:rPr>
        <w:t>Work is underway to develop a set of Collaborative Protection Profiles (</w:t>
      </w:r>
      <w:proofErr w:type="spellStart"/>
      <w:r>
        <w:rPr>
          <w:rFonts w:hint="default"/>
        </w:rPr>
        <w:t>cPP</w:t>
      </w:r>
      <w:proofErr w:type="spellEnd"/>
      <w:r>
        <w:rPr>
          <w:rFonts w:hint="default"/>
        </w:rPr>
        <w:t xml:space="preserve">) developed by international technical communities and approved by multiple schemes. Additional information on this initiative is published at </w:t>
      </w:r>
      <w:hyperlink r:id="rId13" w:history="1">
        <w:r w:rsidR="005855E9" w:rsidRPr="00173721">
          <w:rPr>
            <w:rStyle w:val="Hyperlink"/>
            <w:rFonts w:hint="default"/>
          </w:rPr>
          <w:t>http://www.commoncriteriaportal.org/communities/technical_communities.cfm</w:t>
        </w:r>
      </w:hyperlink>
      <w:r w:rsidR="005855E9">
        <w:rPr>
          <w:rFonts w:hint="default"/>
        </w:rPr>
        <w:t xml:space="preserve"> </w:t>
      </w:r>
    </w:p>
    <w:p w14:paraId="44DAE5F0" w14:textId="77777777" w:rsidR="00586686" w:rsidRDefault="00106F83">
      <w:pPr>
        <w:pStyle w:val="Heading3"/>
        <w:rPr>
          <w:rFonts w:hint="default"/>
        </w:rPr>
      </w:pPr>
      <w:r>
        <w:t>What is an Evaluation Assurance Level?</w:t>
      </w:r>
    </w:p>
    <w:p w14:paraId="1CB3F1EB" w14:textId="57D06163" w:rsidR="00586686" w:rsidRDefault="00106F83">
      <w:pPr>
        <w:rPr>
          <w:rFonts w:hint="default"/>
        </w:rPr>
      </w:pPr>
      <w:r>
        <w:t xml:space="preserve">An Evaluation Assurance Level (EAL) is a predefined set of assurance requirements ranging from </w:t>
      </w:r>
      <w:r w:rsidR="004D11AF">
        <w:rPr>
          <w:rFonts w:hint="default"/>
        </w:rPr>
        <w:t>EAL</w:t>
      </w:r>
      <w:r>
        <w:t xml:space="preserve">1 (Functionally Tested) to </w:t>
      </w:r>
      <w:r w:rsidR="004D11AF">
        <w:rPr>
          <w:rFonts w:hint="default"/>
        </w:rPr>
        <w:t>EAL</w:t>
      </w:r>
      <w:r>
        <w:t>7 (</w:t>
      </w:r>
      <w:r>
        <w:rPr>
          <w:rStyle w:val="StGen0"/>
          <w:lang w:val="en-US"/>
        </w:rPr>
        <w:t>Formally Verified Design and Tested</w:t>
      </w:r>
      <w:r>
        <w:t xml:space="preserve">).  A Protection Profile or Security Target may reference an Evaluation Assurance Level (EAL) </w:t>
      </w:r>
      <w:r w:rsidR="005855E9">
        <w:rPr>
          <w:rFonts w:hint="default"/>
        </w:rPr>
        <w:t xml:space="preserve">or </w:t>
      </w:r>
      <w:r w:rsidR="004D11AF">
        <w:rPr>
          <w:rFonts w:hint="default"/>
        </w:rPr>
        <w:t xml:space="preserve">may instead </w:t>
      </w:r>
      <w:r w:rsidR="005855E9">
        <w:rPr>
          <w:rFonts w:hint="default"/>
        </w:rPr>
        <w:t>specify a custom set of assurance requirements</w:t>
      </w:r>
      <w:r>
        <w:t xml:space="preserve">.  </w:t>
      </w:r>
    </w:p>
    <w:p w14:paraId="3E549405" w14:textId="77777777" w:rsidR="00586686" w:rsidRDefault="00106F83">
      <w:pPr>
        <w:pStyle w:val="Heading3"/>
        <w:rPr>
          <w:rFonts w:hint="default"/>
        </w:rPr>
      </w:pPr>
      <w:r>
        <w:lastRenderedPageBreak/>
        <w:t>How long does evaluation take?</w:t>
      </w:r>
    </w:p>
    <w:p w14:paraId="41F46224" w14:textId="793A6910" w:rsidR="00586686" w:rsidRDefault="004D11AF">
      <w:pPr>
        <w:rPr>
          <w:rFonts w:hint="default"/>
        </w:rPr>
      </w:pPr>
      <w:r>
        <w:t xml:space="preserve">Evaluation projects will typically take one </w:t>
      </w:r>
      <w:r w:rsidRPr="00831F16">
        <w:t xml:space="preserve">year, however the time of an evaluation depends on many factors </w:t>
      </w:r>
      <w:r w:rsidRPr="00831F16">
        <w:rPr>
          <w:rFonts w:hint="default"/>
        </w:rPr>
        <w:t>such as product complexity and assurance claims</w:t>
      </w:r>
      <w:r w:rsidRPr="00831F16">
        <w:t>.</w:t>
      </w:r>
      <w:r>
        <w:t xml:space="preserve"> </w:t>
      </w:r>
      <w:r w:rsidR="002739E4">
        <w:rPr>
          <w:rFonts w:hint="default"/>
        </w:rPr>
        <w:t xml:space="preserve">An evaluation project includes product preparation (including testing), documentation preparation, lab engagement, </w:t>
      </w:r>
      <w:r>
        <w:rPr>
          <w:rFonts w:hint="default"/>
        </w:rPr>
        <w:t xml:space="preserve">lab </w:t>
      </w:r>
      <w:r w:rsidR="002739E4">
        <w:rPr>
          <w:rFonts w:hint="default"/>
        </w:rPr>
        <w:t>evaluation and</w:t>
      </w:r>
      <w:r>
        <w:rPr>
          <w:rFonts w:hint="default"/>
        </w:rPr>
        <w:t xml:space="preserve"> finally</w:t>
      </w:r>
      <w:r w:rsidR="002739E4">
        <w:rPr>
          <w:rFonts w:hint="default"/>
        </w:rPr>
        <w:t xml:space="preserve"> certification by the government oversight body.</w:t>
      </w:r>
      <w:r>
        <w:rPr>
          <w:rFonts w:hint="default"/>
        </w:rPr>
        <w:t xml:space="preserve"> </w:t>
      </w:r>
    </w:p>
    <w:p w14:paraId="5765E714" w14:textId="77777777" w:rsidR="00586686" w:rsidRDefault="00106F83">
      <w:pPr>
        <w:pStyle w:val="Heading3"/>
        <w:rPr>
          <w:rFonts w:hint="default"/>
        </w:rPr>
      </w:pPr>
      <w:r>
        <w:t>What happens when a certified product changes?</w:t>
      </w:r>
    </w:p>
    <w:p w14:paraId="7B5EC899" w14:textId="1F3CC555" w:rsidR="00831F16" w:rsidRDefault="00106F83">
      <w:pPr>
        <w:rPr>
          <w:rFonts w:hint="default"/>
        </w:rPr>
      </w:pPr>
      <w:r>
        <w:t xml:space="preserve">CC </w:t>
      </w:r>
      <w:r w:rsidR="00831F16">
        <w:rPr>
          <w:rFonts w:hint="default"/>
        </w:rPr>
        <w:t>certification</w:t>
      </w:r>
      <w:r>
        <w:t xml:space="preserve"> only applies to the configurations and versions specified by the certified Security Target.  So for example, if your product goes from v1.0 to v1.0.1, the </w:t>
      </w:r>
      <w:r w:rsidR="001D6C5F">
        <w:rPr>
          <w:rFonts w:hint="default"/>
        </w:rPr>
        <w:t>certificate</w:t>
      </w:r>
      <w:r>
        <w:t xml:space="preserve"> no longer applies to that new version</w:t>
      </w:r>
      <w:r w:rsidR="001D6C5F">
        <w:rPr>
          <w:rFonts w:hint="default"/>
        </w:rPr>
        <w:t>. T</w:t>
      </w:r>
      <w:r w:rsidRPr="001D6C5F">
        <w:t>here is</w:t>
      </w:r>
      <w:r w:rsidR="001D6C5F">
        <w:rPr>
          <w:rFonts w:hint="default"/>
        </w:rPr>
        <w:t xml:space="preserve"> however</w:t>
      </w:r>
      <w:r w:rsidRPr="001D6C5F">
        <w:t xml:space="preserve"> a process </w:t>
      </w:r>
      <w:r w:rsidR="001D6C5F">
        <w:rPr>
          <w:rFonts w:hint="default"/>
        </w:rPr>
        <w:t>called</w:t>
      </w:r>
      <w:r w:rsidRPr="001D6C5F">
        <w:t xml:space="preserve"> Assurance Continuity to accommodate </w:t>
      </w:r>
      <w:r w:rsidR="001D6C5F">
        <w:rPr>
          <w:rFonts w:hint="default"/>
        </w:rPr>
        <w:t>product changes</w:t>
      </w:r>
      <w:r w:rsidRPr="001D6C5F">
        <w:t>.</w:t>
      </w:r>
      <w:r w:rsidR="00831F16" w:rsidRPr="001D6C5F">
        <w:rPr>
          <w:rFonts w:hint="default"/>
        </w:rPr>
        <w:t xml:space="preserve"> </w:t>
      </w:r>
    </w:p>
    <w:p w14:paraId="7E4289B8" w14:textId="77777777" w:rsidR="00586686" w:rsidRDefault="00106F83">
      <w:pPr>
        <w:pStyle w:val="Heading3"/>
        <w:rPr>
          <w:rFonts w:hint="default"/>
        </w:rPr>
      </w:pPr>
      <w:r>
        <w:t>What is Assurance Continuity?</w:t>
      </w:r>
    </w:p>
    <w:p w14:paraId="5042B850" w14:textId="4ABC283D" w:rsidR="001D6C5F" w:rsidRDefault="00106F83">
      <w:pPr>
        <w:rPr>
          <w:rFonts w:hint="default"/>
        </w:rPr>
      </w:pPr>
      <w:r>
        <w:t>Assurance Continuity allows minor changes to be performed to an evaluated product and subsequent versions appended to the original CC certificate.  Where changes are security related (and are classified as ‘major’), Assurance Continuity allows these changes to be rapidly evaluated through ‘re-evaluation’, which utilizes results from the original evaluation.</w:t>
      </w:r>
      <w:r w:rsidR="001D6C5F">
        <w:rPr>
          <w:rFonts w:hint="default"/>
        </w:rPr>
        <w:t xml:space="preserve"> </w:t>
      </w:r>
      <w:r w:rsidR="001D6C5F">
        <w:rPr>
          <w:rFonts w:hint="default"/>
          <w:b/>
        </w:rPr>
        <w:t xml:space="preserve">Note: </w:t>
      </w:r>
      <w:r w:rsidR="001D6C5F" w:rsidRPr="001D6C5F">
        <w:rPr>
          <w:rFonts w:hint="default"/>
        </w:rPr>
        <w:t>Individual schemes have differing policies regarding the use of Assurance Continuity.</w:t>
      </w:r>
    </w:p>
    <w:p w14:paraId="7465B41B" w14:textId="0291E769" w:rsidR="00586686" w:rsidRDefault="00106F83">
      <w:pPr>
        <w:rPr>
          <w:rFonts w:hint="default"/>
        </w:rPr>
      </w:pPr>
      <w:r>
        <w:t xml:space="preserve">Further details about the Assurance Continuity program are included in the Common Criteria Recognition Arrangement </w:t>
      </w:r>
      <w:r w:rsidR="001D6C5F">
        <w:t xml:space="preserve">(CCRA) Supporting Documents </w:t>
      </w:r>
      <w:r w:rsidR="001D6C5F">
        <w:rPr>
          <w:rFonts w:hint="default"/>
        </w:rPr>
        <w:t>at</w:t>
      </w:r>
      <w:r>
        <w:t xml:space="preserve"> </w:t>
      </w:r>
      <w:r>
        <w:fldChar w:fldCharType="begin"/>
      </w:r>
      <w:r>
        <w:instrText xml:space="preserve"> HYPERLINK "http://www.commoncriteriaportal.org/cc/" \l "supporting" </w:instrText>
      </w:r>
      <w:r>
        <w:fldChar w:fldCharType="separate"/>
      </w:r>
      <w:r>
        <w:rPr>
          <w:rStyle w:val="Hyperlink"/>
        </w:rPr>
        <w:t>http://www.commoncriteriaportal.org/cc/#supporting</w:t>
      </w:r>
      <w:r>
        <w:rPr>
          <w:rStyle w:val="Hyperlink"/>
        </w:rPr>
        <w:fldChar w:fldCharType="end"/>
      </w:r>
      <w:r>
        <w:t xml:space="preserve"> </w:t>
      </w:r>
    </w:p>
    <w:p w14:paraId="7CBB7387" w14:textId="77777777" w:rsidR="00424753" w:rsidRDefault="00424753" w:rsidP="00424753">
      <w:pPr>
        <w:pStyle w:val="Heading3"/>
        <w:rPr>
          <w:rFonts w:hint="default"/>
        </w:rPr>
      </w:pPr>
      <w:r>
        <w:rPr>
          <w:rFonts w:hint="default"/>
        </w:rPr>
        <w:t>Why buy Common Criteria certified products?</w:t>
      </w:r>
    </w:p>
    <w:p w14:paraId="488DF87E" w14:textId="5B99AE14" w:rsidR="00AA655F" w:rsidRDefault="00AA655F" w:rsidP="00AA655F">
      <w:pPr>
        <w:rPr>
          <w:rFonts w:hint="default"/>
        </w:rPr>
      </w:pPr>
      <w:r>
        <w:rPr>
          <w:rFonts w:hint="default"/>
        </w:rPr>
        <w:t xml:space="preserve">CC certified products </w:t>
      </w:r>
      <w:r w:rsidR="00C805D6">
        <w:rPr>
          <w:rFonts w:hint="default"/>
        </w:rPr>
        <w:t>have undergone a rigorous evaluation process performed by accredited third-party security labs in accordance with internationally accepted criteria</w:t>
      </w:r>
      <w:r w:rsidR="001A5D50">
        <w:rPr>
          <w:rFonts w:hint="default"/>
        </w:rPr>
        <w:t xml:space="preserve"> and </w:t>
      </w:r>
      <w:r w:rsidR="004910A4">
        <w:rPr>
          <w:rFonts w:hint="default"/>
        </w:rPr>
        <w:t xml:space="preserve">a </w:t>
      </w:r>
      <w:r w:rsidR="001A5D50">
        <w:rPr>
          <w:rFonts w:hint="default"/>
        </w:rPr>
        <w:t>government-managed framework. S</w:t>
      </w:r>
      <w:r w:rsidR="00C805D6">
        <w:rPr>
          <w:rFonts w:hint="default"/>
        </w:rPr>
        <w:t>pecific</w:t>
      </w:r>
      <w:r>
        <w:rPr>
          <w:rFonts w:hint="default"/>
        </w:rPr>
        <w:t xml:space="preserve"> advantages</w:t>
      </w:r>
      <w:r w:rsidR="00C805D6">
        <w:rPr>
          <w:rFonts w:hint="default"/>
        </w:rPr>
        <w:t xml:space="preserve"> include</w:t>
      </w:r>
      <w:r>
        <w:rPr>
          <w:rFonts w:hint="default"/>
        </w:rPr>
        <w:t>:</w:t>
      </w:r>
    </w:p>
    <w:p w14:paraId="3F28D613" w14:textId="0114C479" w:rsidR="00AA655F" w:rsidRDefault="00A92CBB" w:rsidP="00A92CBB">
      <w:pPr>
        <w:pStyle w:val="ListParagraph"/>
        <w:numPr>
          <w:ilvl w:val="0"/>
          <w:numId w:val="9"/>
        </w:numPr>
        <w:rPr>
          <w:rFonts w:hint="default"/>
        </w:rPr>
      </w:pPr>
      <w:r>
        <w:rPr>
          <w:rFonts w:hint="default"/>
        </w:rPr>
        <w:t xml:space="preserve">Security functions have been verified </w:t>
      </w:r>
      <w:r w:rsidR="00A31DD5">
        <w:rPr>
          <w:rFonts w:hint="default"/>
        </w:rPr>
        <w:t>and tested</w:t>
      </w:r>
    </w:p>
    <w:p w14:paraId="2618A25E" w14:textId="646B524F" w:rsidR="00ED3E94" w:rsidRDefault="00A31DD5" w:rsidP="007930CA">
      <w:pPr>
        <w:pStyle w:val="ListParagraph"/>
        <w:numPr>
          <w:ilvl w:val="0"/>
          <w:numId w:val="9"/>
        </w:numPr>
        <w:rPr>
          <w:rFonts w:hint="default"/>
        </w:rPr>
      </w:pPr>
      <w:r>
        <w:rPr>
          <w:rFonts w:hint="default"/>
        </w:rPr>
        <w:t>Product has passed vulnerability assessment and penetration tests</w:t>
      </w:r>
    </w:p>
    <w:p w14:paraId="0A754399" w14:textId="1DACB76E" w:rsidR="00A92CBB" w:rsidRDefault="00A92CBB" w:rsidP="00A31DD5">
      <w:pPr>
        <w:pStyle w:val="ListParagraph"/>
        <w:numPr>
          <w:ilvl w:val="0"/>
          <w:numId w:val="9"/>
        </w:numPr>
        <w:rPr>
          <w:rFonts w:hint="default"/>
        </w:rPr>
      </w:pPr>
      <w:r>
        <w:rPr>
          <w:rFonts w:hint="default"/>
        </w:rPr>
        <w:t xml:space="preserve">Developer processes have been </w:t>
      </w:r>
      <w:r w:rsidR="007930CA">
        <w:rPr>
          <w:rFonts w:hint="default"/>
        </w:rPr>
        <w:t xml:space="preserve">assessed </w:t>
      </w:r>
    </w:p>
    <w:p w14:paraId="6FD1CD40" w14:textId="21F15AE0" w:rsidR="00424753" w:rsidRPr="007C13DC" w:rsidRDefault="00A31DD5" w:rsidP="007C13DC">
      <w:pPr>
        <w:pStyle w:val="ListParagraph"/>
        <w:numPr>
          <w:ilvl w:val="0"/>
          <w:numId w:val="9"/>
        </w:numPr>
        <w:rPr>
          <w:rFonts w:hint="default"/>
        </w:rPr>
      </w:pPr>
      <w:r>
        <w:rPr>
          <w:rFonts w:hint="default"/>
        </w:rPr>
        <w:t>Product m</w:t>
      </w:r>
      <w:r w:rsidR="00AA655F">
        <w:rPr>
          <w:rFonts w:hint="default"/>
        </w:rPr>
        <w:t>eet</w:t>
      </w:r>
      <w:r>
        <w:rPr>
          <w:rFonts w:hint="default"/>
        </w:rPr>
        <w:t>s</w:t>
      </w:r>
      <w:r w:rsidR="00AA655F">
        <w:rPr>
          <w:rFonts w:hint="default"/>
        </w:rPr>
        <w:t xml:space="preserve"> </w:t>
      </w:r>
      <w:r>
        <w:rPr>
          <w:rFonts w:hint="default"/>
        </w:rPr>
        <w:t>checkbox CC</w:t>
      </w:r>
      <w:r w:rsidR="00AA655F">
        <w:rPr>
          <w:rFonts w:hint="default"/>
        </w:rPr>
        <w:t xml:space="preserve"> </w:t>
      </w:r>
      <w:r>
        <w:rPr>
          <w:rFonts w:hint="default"/>
        </w:rPr>
        <w:t xml:space="preserve">procurement </w:t>
      </w:r>
      <w:r w:rsidR="00AA655F">
        <w:rPr>
          <w:rFonts w:hint="default"/>
        </w:rPr>
        <w:t xml:space="preserve">requirements </w:t>
      </w:r>
    </w:p>
    <w:p w14:paraId="5EBC08F5" w14:textId="77777777" w:rsidR="00424753" w:rsidRDefault="00424753" w:rsidP="00424753">
      <w:pPr>
        <w:rPr>
          <w:rFonts w:hint="default"/>
          <w:b/>
        </w:rPr>
      </w:pPr>
      <w:r>
        <w:rPr>
          <w:rFonts w:hint="default"/>
          <w:b/>
        </w:rPr>
        <w:t>Why get your product Common Criteria certified?</w:t>
      </w:r>
    </w:p>
    <w:p w14:paraId="07D2D663" w14:textId="44DC97DC" w:rsidR="007C13DC" w:rsidRPr="004910A4" w:rsidRDefault="004910A4" w:rsidP="00424753">
      <w:pPr>
        <w:rPr>
          <w:rFonts w:hint="default"/>
        </w:rPr>
      </w:pPr>
      <w:r>
        <w:rPr>
          <w:rFonts w:hint="default"/>
        </w:rPr>
        <w:t xml:space="preserve">In </w:t>
      </w:r>
      <w:r w:rsidRPr="004910A4">
        <w:rPr>
          <w:rFonts w:hint="default"/>
        </w:rPr>
        <w:t xml:space="preserve">addition to the advantages listed above, </w:t>
      </w:r>
      <w:r>
        <w:rPr>
          <w:rFonts w:hint="default"/>
        </w:rPr>
        <w:t>reasons to get your product certified include:</w:t>
      </w:r>
    </w:p>
    <w:p w14:paraId="56C40908" w14:textId="029E57BF" w:rsidR="004910A4" w:rsidRDefault="004910A4" w:rsidP="00424753">
      <w:pPr>
        <w:pStyle w:val="ListParagraph"/>
        <w:numPr>
          <w:ilvl w:val="0"/>
          <w:numId w:val="8"/>
        </w:numPr>
        <w:rPr>
          <w:rFonts w:hint="default"/>
        </w:rPr>
      </w:pPr>
      <w:r w:rsidRPr="004910A4">
        <w:rPr>
          <w:rFonts w:hint="default"/>
        </w:rPr>
        <w:t>Meet government and industry procurement requirements</w:t>
      </w:r>
    </w:p>
    <w:p w14:paraId="5F46C053" w14:textId="5C071795" w:rsidR="004910A4" w:rsidRDefault="004910A4" w:rsidP="00424753">
      <w:pPr>
        <w:pStyle w:val="ListParagraph"/>
        <w:numPr>
          <w:ilvl w:val="0"/>
          <w:numId w:val="8"/>
        </w:numPr>
        <w:rPr>
          <w:rFonts w:hint="default"/>
        </w:rPr>
      </w:pPr>
      <w:r>
        <w:rPr>
          <w:rFonts w:hint="default"/>
        </w:rPr>
        <w:t>Demonstrate a strong commitment to security through third party evaluation</w:t>
      </w:r>
    </w:p>
    <w:p w14:paraId="182EC231" w14:textId="4353832C" w:rsidR="00205729" w:rsidRPr="004910A4" w:rsidRDefault="00205729" w:rsidP="00424753">
      <w:pPr>
        <w:pStyle w:val="ListParagraph"/>
        <w:numPr>
          <w:ilvl w:val="0"/>
          <w:numId w:val="8"/>
        </w:numPr>
        <w:rPr>
          <w:rFonts w:hint="default"/>
        </w:rPr>
      </w:pPr>
      <w:r>
        <w:rPr>
          <w:rFonts w:hint="default"/>
        </w:rPr>
        <w:t xml:space="preserve">Product and process improvements </w:t>
      </w:r>
      <w:r w:rsidR="00211E9C">
        <w:rPr>
          <w:rFonts w:hint="default"/>
        </w:rPr>
        <w:t>may be</w:t>
      </w:r>
      <w:r>
        <w:rPr>
          <w:rFonts w:hint="default"/>
        </w:rPr>
        <w:t xml:space="preserve"> identified during evaluation</w:t>
      </w:r>
    </w:p>
    <w:p w14:paraId="3D4F6C5A" w14:textId="177736BC" w:rsidR="004910A4" w:rsidRPr="004910A4" w:rsidRDefault="004910A4" w:rsidP="00424753">
      <w:pPr>
        <w:pStyle w:val="ListParagraph"/>
        <w:numPr>
          <w:ilvl w:val="0"/>
          <w:numId w:val="8"/>
        </w:numPr>
        <w:rPr>
          <w:rFonts w:hint="default"/>
        </w:rPr>
      </w:pPr>
      <w:r w:rsidRPr="004910A4">
        <w:rPr>
          <w:rFonts w:hint="default"/>
        </w:rPr>
        <w:t>CC certificates issued by one scheme are mutually recognized by all participant nations</w:t>
      </w:r>
    </w:p>
    <w:p w14:paraId="06B09EC3" w14:textId="0DB57C8A" w:rsidR="00E022D8" w:rsidRPr="004910A4" w:rsidRDefault="00205729" w:rsidP="004910A4">
      <w:pPr>
        <w:pStyle w:val="ListParagraph"/>
        <w:numPr>
          <w:ilvl w:val="0"/>
          <w:numId w:val="8"/>
        </w:numPr>
        <w:rPr>
          <w:rFonts w:hint="default"/>
        </w:rPr>
      </w:pPr>
      <w:r>
        <w:rPr>
          <w:rFonts w:hint="default"/>
        </w:rPr>
        <w:t>CC certification provides competitive m</w:t>
      </w:r>
      <w:r w:rsidR="004910A4" w:rsidRPr="004910A4">
        <w:rPr>
          <w:rFonts w:hint="default"/>
        </w:rPr>
        <w:t>arket differentiation</w:t>
      </w:r>
      <w:r>
        <w:rPr>
          <w:rFonts w:hint="default"/>
        </w:rPr>
        <w:t xml:space="preserve"> </w:t>
      </w:r>
    </w:p>
    <w:p w14:paraId="6B9FE8E6" w14:textId="77777777" w:rsidR="006B0CD1" w:rsidRPr="007C13DC" w:rsidRDefault="006B0CD1" w:rsidP="004910A4">
      <w:pPr>
        <w:keepNext/>
        <w:keepLines/>
        <w:rPr>
          <w:rFonts w:hint="default"/>
          <w:b/>
        </w:rPr>
      </w:pPr>
      <w:r w:rsidRPr="007C13DC">
        <w:rPr>
          <w:rFonts w:hint="default"/>
          <w:b/>
        </w:rPr>
        <w:lastRenderedPageBreak/>
        <w:t>What is the CCUF and how do I join?</w:t>
      </w:r>
    </w:p>
    <w:p w14:paraId="70B6B770" w14:textId="6A7E370D" w:rsidR="006B0CD1" w:rsidRDefault="007C13DC" w:rsidP="004910A4">
      <w:pPr>
        <w:keepNext/>
        <w:keepLines/>
        <w:rPr>
          <w:rFonts w:hint="default"/>
        </w:rPr>
      </w:pPr>
      <w:r w:rsidRPr="007C13DC">
        <w:rPr>
          <w:rFonts w:hint="default"/>
        </w:rPr>
        <w:t>The Common Criteria User</w:t>
      </w:r>
      <w:r>
        <w:rPr>
          <w:rFonts w:hint="default"/>
        </w:rPr>
        <w:t>s’</w:t>
      </w:r>
      <w:r w:rsidRPr="007C13DC">
        <w:rPr>
          <w:rFonts w:hint="default"/>
        </w:rPr>
        <w:t xml:space="preserve"> Forum mission is to provide a voice and communications channel amongst the CC community including the vendors, consultants, testing laboratories, Common Criteria organizational committees, national schemes, policy makers, and other interested parties.</w:t>
      </w:r>
    </w:p>
    <w:p w14:paraId="0712DD25" w14:textId="26CA4398" w:rsidR="007C13DC" w:rsidRDefault="007C13DC" w:rsidP="004910A4">
      <w:pPr>
        <w:keepNext/>
        <w:keepLines/>
        <w:rPr>
          <w:rFonts w:hint="default"/>
        </w:rPr>
      </w:pPr>
      <w:r w:rsidRPr="007C13DC">
        <w:rPr>
          <w:rFonts w:hint="default"/>
        </w:rPr>
        <w:t xml:space="preserve">You can join </w:t>
      </w:r>
      <w:r>
        <w:rPr>
          <w:rFonts w:hint="default"/>
        </w:rPr>
        <w:t xml:space="preserve">the CCUF by registering at </w:t>
      </w:r>
      <w:hyperlink r:id="rId14" w:history="1">
        <w:r w:rsidR="007A3C62" w:rsidRPr="00173721">
          <w:rPr>
            <w:rStyle w:val="Hyperlink"/>
            <w:rFonts w:hint="default"/>
          </w:rPr>
          <w:t>https://ccusersforum.onlyoffice.com/auth.aspx</w:t>
        </w:r>
      </w:hyperlink>
      <w:r w:rsidR="007A3C62">
        <w:rPr>
          <w:rFonts w:hint="default"/>
        </w:rPr>
        <w:t xml:space="preserve"> </w:t>
      </w:r>
    </w:p>
    <w:p w14:paraId="08517ED2" w14:textId="6A4069F8" w:rsidR="007C13DC" w:rsidRDefault="007A3C62" w:rsidP="007A3C62">
      <w:pPr>
        <w:jc w:val="center"/>
        <w:rPr>
          <w:rFonts w:hint="default"/>
          <w:highlight w:val="yellow"/>
        </w:rPr>
      </w:pPr>
      <w:r>
        <w:rPr>
          <w:rFonts w:hint="default"/>
          <w:noProof/>
          <w:lang w:val="en-US"/>
        </w:rPr>
        <w:drawing>
          <wp:inline distT="0" distB="0" distL="0" distR="0" wp14:anchorId="442E4F5F" wp14:editId="1D4E04EF">
            <wp:extent cx="5567766" cy="2350834"/>
            <wp:effectExtent l="25400" t="25400" r="20320" b="368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9-08 at 3.16.17 PM.png"/>
                    <pic:cNvPicPr/>
                  </pic:nvPicPr>
                  <pic:blipFill>
                    <a:blip r:embed="rId15">
                      <a:extLst>
                        <a:ext uri="{28A0092B-C50C-407E-A947-70E740481C1C}">
                          <a14:useLocalDpi xmlns:a14="http://schemas.microsoft.com/office/drawing/2010/main" val="0"/>
                        </a:ext>
                      </a:extLst>
                    </a:blip>
                    <a:stretch>
                      <a:fillRect/>
                    </a:stretch>
                  </pic:blipFill>
                  <pic:spPr>
                    <a:xfrm>
                      <a:off x="0" y="0"/>
                      <a:ext cx="5570407" cy="2351949"/>
                    </a:xfrm>
                    <a:prstGeom prst="rect">
                      <a:avLst/>
                    </a:prstGeom>
                    <a:ln>
                      <a:solidFill>
                        <a:schemeClr val="bg1">
                          <a:lumMod val="85000"/>
                        </a:schemeClr>
                      </a:solidFill>
                    </a:ln>
                  </pic:spPr>
                </pic:pic>
              </a:graphicData>
            </a:graphic>
          </wp:inline>
        </w:drawing>
      </w:r>
      <w:bookmarkStart w:id="0" w:name="_GoBack"/>
      <w:bookmarkEnd w:id="0"/>
    </w:p>
    <w:p w14:paraId="75FC6029" w14:textId="0A425552" w:rsidR="007A3C62" w:rsidRPr="007C13DC" w:rsidRDefault="007A3C62" w:rsidP="001A5D50">
      <w:pPr>
        <w:jc w:val="center"/>
        <w:rPr>
          <w:rFonts w:hint="default"/>
          <w:highlight w:val="yellow"/>
        </w:rPr>
      </w:pPr>
      <w:r>
        <w:rPr>
          <w:rFonts w:hint="default"/>
          <w:noProof/>
          <w:lang w:val="en-US"/>
        </w:rPr>
        <w:drawing>
          <wp:inline distT="0" distB="0" distL="0" distR="0" wp14:anchorId="549C1376" wp14:editId="551FFAB2">
            <wp:extent cx="5598591" cy="3563719"/>
            <wp:effectExtent l="25400" t="25400" r="15240" b="177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9-08 at 3.19.08 PM.png"/>
                    <pic:cNvPicPr/>
                  </pic:nvPicPr>
                  <pic:blipFill>
                    <a:blip r:embed="rId16">
                      <a:extLst>
                        <a:ext uri="{28A0092B-C50C-407E-A947-70E740481C1C}">
                          <a14:useLocalDpi xmlns:a14="http://schemas.microsoft.com/office/drawing/2010/main" val="0"/>
                        </a:ext>
                      </a:extLst>
                    </a:blip>
                    <a:stretch>
                      <a:fillRect/>
                    </a:stretch>
                  </pic:blipFill>
                  <pic:spPr>
                    <a:xfrm>
                      <a:off x="0" y="0"/>
                      <a:ext cx="5599710" cy="3564432"/>
                    </a:xfrm>
                    <a:prstGeom prst="rect">
                      <a:avLst/>
                    </a:prstGeom>
                    <a:ln>
                      <a:solidFill>
                        <a:schemeClr val="bg1">
                          <a:lumMod val="85000"/>
                        </a:schemeClr>
                      </a:solidFill>
                    </a:ln>
                  </pic:spPr>
                </pic:pic>
              </a:graphicData>
            </a:graphic>
          </wp:inline>
        </w:drawing>
      </w:r>
    </w:p>
    <w:sectPr w:rsidR="007A3C62" w:rsidRPr="007C13DC">
      <w:headerReference w:type="default" r:id="rId17"/>
      <w:footerReference w:type="default" r:id="rId18"/>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19AA5" w14:textId="77777777" w:rsidR="004910A4" w:rsidRDefault="004910A4">
      <w:pPr>
        <w:spacing w:after="0" w:line="240" w:lineRule="auto"/>
        <w:rPr>
          <w:rFonts w:hint="default"/>
        </w:rPr>
      </w:pPr>
      <w:r>
        <w:separator/>
      </w:r>
    </w:p>
  </w:endnote>
  <w:endnote w:type="continuationSeparator" w:id="0">
    <w:p w14:paraId="388A1A7B" w14:textId="77777777" w:rsidR="004910A4" w:rsidRDefault="004910A4">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09C3" w14:textId="04A9FA4C" w:rsidR="004910A4" w:rsidRDefault="004910A4" w:rsidP="001A5D50">
    <w:pPr>
      <w:jc w:val="right"/>
      <w:rPr>
        <w:rFonts w:hint="default"/>
      </w:rPr>
    </w:pPr>
    <w:r>
      <w:t xml:space="preserve">Page </w:t>
    </w:r>
    <w:r>
      <w:fldChar w:fldCharType="begin"/>
    </w:r>
    <w:r>
      <w:instrText xml:space="preserve"> PAGE </w:instrText>
    </w:r>
    <w:r>
      <w:rPr>
        <w:rFonts w:hint="default"/>
      </w:rPr>
      <w:fldChar w:fldCharType="separate"/>
    </w:r>
    <w:r w:rsidR="0061354D">
      <w:rPr>
        <w:rFonts w:hint="default"/>
        <w:noProof/>
      </w:rPr>
      <w:t>1</w:t>
    </w:r>
    <w:r>
      <w:fldChar w:fldCharType="end"/>
    </w:r>
    <w:r>
      <w:t xml:space="preserve"> of </w:t>
    </w:r>
    <w:r>
      <w:fldChar w:fldCharType="begin"/>
    </w:r>
    <w:r>
      <w:instrText xml:space="preserve"> NUMPAGES </w:instrText>
    </w:r>
    <w:r>
      <w:rPr>
        <w:rFonts w:hint="default"/>
      </w:rPr>
      <w:fldChar w:fldCharType="separate"/>
    </w:r>
    <w:r w:rsidR="0061354D">
      <w:rPr>
        <w:rFonts w:hint="default"/>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B50EC3" w14:textId="77777777" w:rsidR="004910A4" w:rsidRDefault="004910A4">
      <w:pPr>
        <w:spacing w:after="0" w:line="240" w:lineRule="auto"/>
        <w:rPr>
          <w:rFonts w:hint="default"/>
        </w:rPr>
      </w:pPr>
      <w:r>
        <w:separator/>
      </w:r>
    </w:p>
  </w:footnote>
  <w:footnote w:type="continuationSeparator" w:id="0">
    <w:p w14:paraId="38CD2A8E" w14:textId="77777777" w:rsidR="004910A4" w:rsidRDefault="004910A4">
      <w:pPr>
        <w:spacing w:after="0" w:line="240" w:lineRule="auto"/>
        <w:rPr>
          <w:rFonts w:hint="default"/>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8A80E" w14:textId="632539E8" w:rsidR="004910A4" w:rsidRDefault="004910A4" w:rsidP="004D731E">
    <w:pPr>
      <w:pStyle w:val="Heading1"/>
      <w:tabs>
        <w:tab w:val="left" w:pos="6151"/>
        <w:tab w:val="right" w:pos="9360"/>
      </w:tabs>
      <w:spacing w:before="0"/>
      <w:jc w:val="right"/>
      <w:rPr>
        <w:rFonts w:hint="default"/>
      </w:rPr>
    </w:pPr>
    <w:r>
      <w:rPr>
        <w:noProof/>
        <w:lang w:val="en-US"/>
      </w:rPr>
      <w:drawing>
        <wp:inline distT="0" distB="0" distL="0" distR="0" wp14:anchorId="1822A371" wp14:editId="7C43A462">
          <wp:extent cx="767166" cy="7671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uf200.png"/>
                  <pic:cNvPicPr/>
                </pic:nvPicPr>
                <pic:blipFill>
                  <a:blip r:embed="rId1">
                    <a:extLst>
                      <a:ext uri="{28A0092B-C50C-407E-A947-70E740481C1C}">
                        <a14:useLocalDpi xmlns:a14="http://schemas.microsoft.com/office/drawing/2010/main" val="0"/>
                      </a:ext>
                    </a:extLst>
                  </a:blip>
                  <a:stretch>
                    <a:fillRect/>
                  </a:stretch>
                </pic:blipFill>
                <pic:spPr>
                  <a:xfrm>
                    <a:off x="0" y="0"/>
                    <a:ext cx="767767" cy="76776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84E83"/>
    <w:multiLevelType w:val="hybridMultilevel"/>
    <w:tmpl w:val="98301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953569"/>
    <w:multiLevelType w:val="hybridMultilevel"/>
    <w:tmpl w:val="62747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1060D4"/>
    <w:multiLevelType w:val="hybridMultilevel"/>
    <w:tmpl w:val="BB64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4069A"/>
    <w:multiLevelType w:val="hybridMultilevel"/>
    <w:tmpl w:val="F834717E"/>
    <w:lvl w:ilvl="0" w:tplc="567409DC">
      <w:start w:val="1"/>
      <w:numFmt w:val="bullet"/>
      <w:lvlText w:val=""/>
      <w:lvlJc w:val="left"/>
      <w:pPr>
        <w:ind w:left="720" w:hanging="358"/>
      </w:pPr>
      <w:rPr>
        <w:rFonts w:ascii="Symbol" w:hAnsi="Symbol" w:hint="eastAsia"/>
      </w:rPr>
    </w:lvl>
    <w:lvl w:ilvl="1" w:tplc="C2723C6E">
      <w:start w:val="1"/>
      <w:numFmt w:val="bullet"/>
      <w:lvlText w:val="o"/>
      <w:lvlJc w:val="left"/>
      <w:pPr>
        <w:ind w:left="1440" w:hanging="358"/>
      </w:pPr>
      <w:rPr>
        <w:rFonts w:ascii="Courier New" w:hAnsi="Courier New" w:hint="default"/>
      </w:rPr>
    </w:lvl>
    <w:lvl w:ilvl="2" w:tplc="C86C8F02">
      <w:start w:val="1"/>
      <w:numFmt w:val="bullet"/>
      <w:lvlText w:val=""/>
      <w:lvlJc w:val="left"/>
      <w:pPr>
        <w:ind w:left="2160" w:hanging="358"/>
      </w:pPr>
      <w:rPr>
        <w:rFonts w:ascii="Wingdings" w:hAnsi="Wingdings" w:hint="default"/>
      </w:rPr>
    </w:lvl>
    <w:lvl w:ilvl="3" w:tplc="BC963BF2">
      <w:start w:val="1"/>
      <w:numFmt w:val="bullet"/>
      <w:lvlText w:val=""/>
      <w:lvlJc w:val="left"/>
      <w:pPr>
        <w:ind w:left="2880" w:hanging="358"/>
      </w:pPr>
      <w:rPr>
        <w:rFonts w:ascii="Symbol" w:hAnsi="Symbol" w:hint="default"/>
      </w:rPr>
    </w:lvl>
    <w:lvl w:ilvl="4" w:tplc="2A14AB64">
      <w:start w:val="1"/>
      <w:numFmt w:val="bullet"/>
      <w:lvlText w:val="o"/>
      <w:lvlJc w:val="left"/>
      <w:pPr>
        <w:ind w:left="3600" w:hanging="358"/>
      </w:pPr>
      <w:rPr>
        <w:rFonts w:ascii="Courier New" w:hAnsi="Courier New" w:hint="default"/>
      </w:rPr>
    </w:lvl>
    <w:lvl w:ilvl="5" w:tplc="A6160450">
      <w:start w:val="1"/>
      <w:numFmt w:val="bullet"/>
      <w:lvlText w:val=""/>
      <w:lvlJc w:val="left"/>
      <w:pPr>
        <w:ind w:left="4320" w:hanging="358"/>
      </w:pPr>
      <w:rPr>
        <w:rFonts w:ascii="Wingdings" w:hAnsi="Wingdings" w:hint="default"/>
      </w:rPr>
    </w:lvl>
    <w:lvl w:ilvl="6" w:tplc="AB380D5E">
      <w:start w:val="1"/>
      <w:numFmt w:val="bullet"/>
      <w:lvlText w:val=""/>
      <w:lvlJc w:val="left"/>
      <w:pPr>
        <w:ind w:left="5040" w:hanging="358"/>
      </w:pPr>
      <w:rPr>
        <w:rFonts w:ascii="Symbol" w:hAnsi="Symbol" w:hint="default"/>
      </w:rPr>
    </w:lvl>
    <w:lvl w:ilvl="7" w:tplc="1352966A">
      <w:start w:val="1"/>
      <w:numFmt w:val="bullet"/>
      <w:lvlText w:val="o"/>
      <w:lvlJc w:val="left"/>
      <w:pPr>
        <w:ind w:left="5760" w:hanging="358"/>
      </w:pPr>
      <w:rPr>
        <w:rFonts w:ascii="Courier New" w:hAnsi="Courier New" w:hint="default"/>
      </w:rPr>
    </w:lvl>
    <w:lvl w:ilvl="8" w:tplc="C890BFDC">
      <w:start w:val="1"/>
      <w:numFmt w:val="bullet"/>
      <w:lvlText w:val=""/>
      <w:lvlJc w:val="left"/>
      <w:pPr>
        <w:ind w:left="6480" w:hanging="358"/>
      </w:pPr>
      <w:rPr>
        <w:rFonts w:ascii="Wingdings" w:hAnsi="Wingdings" w:hint="default"/>
      </w:rPr>
    </w:lvl>
  </w:abstractNum>
  <w:abstractNum w:abstractNumId="4">
    <w:nsid w:val="2652512D"/>
    <w:multiLevelType w:val="hybridMultilevel"/>
    <w:tmpl w:val="FB82437E"/>
    <w:lvl w:ilvl="0" w:tplc="C9322E16">
      <w:start w:val="1"/>
      <w:numFmt w:val="decimal"/>
      <w:lvlText w:val="%1."/>
      <w:lvlJc w:val="left"/>
      <w:pPr>
        <w:ind w:left="360" w:hanging="358"/>
      </w:pPr>
    </w:lvl>
    <w:lvl w:ilvl="1" w:tplc="4B821628">
      <w:start w:val="1"/>
      <w:numFmt w:val="lowerLetter"/>
      <w:lvlText w:val="%2."/>
      <w:lvlJc w:val="left"/>
      <w:pPr>
        <w:ind w:left="1080" w:hanging="358"/>
      </w:pPr>
    </w:lvl>
    <w:lvl w:ilvl="2" w:tplc="78B6457A">
      <w:start w:val="1"/>
      <w:numFmt w:val="lowerRoman"/>
      <w:lvlText w:val="%3."/>
      <w:lvlJc w:val="right"/>
      <w:pPr>
        <w:ind w:left="1800" w:hanging="178"/>
      </w:pPr>
    </w:lvl>
    <w:lvl w:ilvl="3" w:tplc="A87C34D8">
      <w:start w:val="1"/>
      <w:numFmt w:val="decimal"/>
      <w:lvlText w:val="%4."/>
      <w:lvlJc w:val="left"/>
      <w:pPr>
        <w:ind w:left="2520" w:hanging="358"/>
      </w:pPr>
    </w:lvl>
    <w:lvl w:ilvl="4" w:tplc="D27C8010">
      <w:start w:val="1"/>
      <w:numFmt w:val="lowerLetter"/>
      <w:lvlText w:val="%5."/>
      <w:lvlJc w:val="left"/>
      <w:pPr>
        <w:ind w:left="3240" w:hanging="358"/>
      </w:pPr>
    </w:lvl>
    <w:lvl w:ilvl="5" w:tplc="7A163D76">
      <w:start w:val="1"/>
      <w:numFmt w:val="lowerRoman"/>
      <w:lvlText w:val="%6."/>
      <w:lvlJc w:val="right"/>
      <w:pPr>
        <w:ind w:left="3960" w:hanging="178"/>
      </w:pPr>
    </w:lvl>
    <w:lvl w:ilvl="6" w:tplc="2870A4FA">
      <w:start w:val="1"/>
      <w:numFmt w:val="decimal"/>
      <w:lvlText w:val="%7."/>
      <w:lvlJc w:val="left"/>
      <w:pPr>
        <w:ind w:left="4680" w:hanging="358"/>
      </w:pPr>
    </w:lvl>
    <w:lvl w:ilvl="7" w:tplc="A1B4EAFE">
      <w:start w:val="1"/>
      <w:numFmt w:val="lowerLetter"/>
      <w:lvlText w:val="%8."/>
      <w:lvlJc w:val="left"/>
      <w:pPr>
        <w:ind w:left="5400" w:hanging="358"/>
      </w:pPr>
    </w:lvl>
    <w:lvl w:ilvl="8" w:tplc="AE2AEFC6">
      <w:start w:val="1"/>
      <w:numFmt w:val="lowerRoman"/>
      <w:lvlText w:val="%9."/>
      <w:lvlJc w:val="right"/>
      <w:pPr>
        <w:ind w:left="6120" w:hanging="178"/>
      </w:pPr>
    </w:lvl>
  </w:abstractNum>
  <w:abstractNum w:abstractNumId="5">
    <w:nsid w:val="2CA0370B"/>
    <w:multiLevelType w:val="hybridMultilevel"/>
    <w:tmpl w:val="B1E8BB80"/>
    <w:lvl w:ilvl="0" w:tplc="B44AE82A">
      <w:start w:val="1"/>
      <w:numFmt w:val="bullet"/>
      <w:lvlText w:val=""/>
      <w:lvlJc w:val="left"/>
      <w:pPr>
        <w:ind w:left="720" w:hanging="358"/>
      </w:pPr>
      <w:rPr>
        <w:rFonts w:ascii="Symbol" w:hAnsi="Symbol" w:hint="default"/>
      </w:rPr>
    </w:lvl>
    <w:lvl w:ilvl="1" w:tplc="55A07150">
      <w:start w:val="1"/>
      <w:numFmt w:val="bullet"/>
      <w:lvlText w:val="o"/>
      <w:lvlJc w:val="left"/>
      <w:pPr>
        <w:ind w:left="1440" w:hanging="358"/>
      </w:pPr>
      <w:rPr>
        <w:rFonts w:ascii="Courier New" w:hAnsi="Courier New" w:hint="default"/>
      </w:rPr>
    </w:lvl>
    <w:lvl w:ilvl="2" w:tplc="9140B59A">
      <w:start w:val="1"/>
      <w:numFmt w:val="bullet"/>
      <w:lvlText w:val=""/>
      <w:lvlJc w:val="left"/>
      <w:pPr>
        <w:ind w:left="2160" w:hanging="358"/>
      </w:pPr>
      <w:rPr>
        <w:rFonts w:ascii="Wingdings" w:hAnsi="Wingdings" w:hint="default"/>
      </w:rPr>
    </w:lvl>
    <w:lvl w:ilvl="3" w:tplc="48625D12">
      <w:start w:val="1"/>
      <w:numFmt w:val="bullet"/>
      <w:lvlText w:val=""/>
      <w:lvlJc w:val="left"/>
      <w:pPr>
        <w:ind w:left="2880" w:hanging="358"/>
      </w:pPr>
      <w:rPr>
        <w:rFonts w:ascii="Symbol" w:hAnsi="Symbol" w:hint="default"/>
      </w:rPr>
    </w:lvl>
    <w:lvl w:ilvl="4" w:tplc="D1565416">
      <w:start w:val="1"/>
      <w:numFmt w:val="bullet"/>
      <w:lvlText w:val="o"/>
      <w:lvlJc w:val="left"/>
      <w:pPr>
        <w:ind w:left="3600" w:hanging="358"/>
      </w:pPr>
      <w:rPr>
        <w:rFonts w:ascii="Courier New" w:hAnsi="Courier New" w:hint="default"/>
      </w:rPr>
    </w:lvl>
    <w:lvl w:ilvl="5" w:tplc="361E71EC">
      <w:start w:val="1"/>
      <w:numFmt w:val="bullet"/>
      <w:lvlText w:val=""/>
      <w:lvlJc w:val="left"/>
      <w:pPr>
        <w:ind w:left="4320" w:hanging="358"/>
      </w:pPr>
      <w:rPr>
        <w:rFonts w:ascii="Wingdings" w:hAnsi="Wingdings" w:hint="default"/>
      </w:rPr>
    </w:lvl>
    <w:lvl w:ilvl="6" w:tplc="F524FA4A">
      <w:start w:val="1"/>
      <w:numFmt w:val="bullet"/>
      <w:lvlText w:val=""/>
      <w:lvlJc w:val="left"/>
      <w:pPr>
        <w:ind w:left="5040" w:hanging="358"/>
      </w:pPr>
      <w:rPr>
        <w:rFonts w:ascii="Symbol" w:hAnsi="Symbol" w:hint="default"/>
      </w:rPr>
    </w:lvl>
    <w:lvl w:ilvl="7" w:tplc="B1266D54">
      <w:start w:val="1"/>
      <w:numFmt w:val="bullet"/>
      <w:lvlText w:val="o"/>
      <w:lvlJc w:val="left"/>
      <w:pPr>
        <w:ind w:left="5760" w:hanging="358"/>
      </w:pPr>
      <w:rPr>
        <w:rFonts w:ascii="Courier New" w:hAnsi="Courier New" w:hint="default"/>
      </w:rPr>
    </w:lvl>
    <w:lvl w:ilvl="8" w:tplc="AE4C49AA">
      <w:start w:val="1"/>
      <w:numFmt w:val="bullet"/>
      <w:lvlText w:val=""/>
      <w:lvlJc w:val="left"/>
      <w:pPr>
        <w:ind w:left="6480" w:hanging="358"/>
      </w:pPr>
      <w:rPr>
        <w:rFonts w:ascii="Wingdings" w:hAnsi="Wingdings" w:hint="default"/>
      </w:rPr>
    </w:lvl>
  </w:abstractNum>
  <w:abstractNum w:abstractNumId="6">
    <w:nsid w:val="77427EE3"/>
    <w:multiLevelType w:val="hybridMultilevel"/>
    <w:tmpl w:val="28D8622C"/>
    <w:lvl w:ilvl="0" w:tplc="B84CCB2A">
      <w:start w:val="1"/>
      <w:numFmt w:val="bullet"/>
      <w:lvlText w:val=""/>
      <w:lvlJc w:val="left"/>
      <w:pPr>
        <w:ind w:left="720" w:hanging="358"/>
      </w:pPr>
      <w:rPr>
        <w:rFonts w:ascii="Symbol" w:hAnsi="Symbol" w:hint="default"/>
      </w:rPr>
    </w:lvl>
    <w:lvl w:ilvl="1" w:tplc="C15C6E30">
      <w:start w:val="1"/>
      <w:numFmt w:val="bullet"/>
      <w:lvlText w:val="o"/>
      <w:lvlJc w:val="left"/>
      <w:pPr>
        <w:ind w:left="1440" w:hanging="358"/>
      </w:pPr>
      <w:rPr>
        <w:rFonts w:ascii="Courier New" w:hAnsi="Courier New" w:hint="default"/>
      </w:rPr>
    </w:lvl>
    <w:lvl w:ilvl="2" w:tplc="984E7B66">
      <w:start w:val="1"/>
      <w:numFmt w:val="bullet"/>
      <w:lvlText w:val=""/>
      <w:lvlJc w:val="left"/>
      <w:pPr>
        <w:ind w:left="2160" w:hanging="358"/>
      </w:pPr>
      <w:rPr>
        <w:rFonts w:ascii="Wingdings" w:hAnsi="Wingdings" w:hint="default"/>
      </w:rPr>
    </w:lvl>
    <w:lvl w:ilvl="3" w:tplc="77CAF6C6">
      <w:start w:val="1"/>
      <w:numFmt w:val="bullet"/>
      <w:lvlText w:val=""/>
      <w:lvlJc w:val="left"/>
      <w:pPr>
        <w:ind w:left="2880" w:hanging="358"/>
      </w:pPr>
      <w:rPr>
        <w:rFonts w:ascii="Symbol" w:hAnsi="Symbol" w:hint="default"/>
      </w:rPr>
    </w:lvl>
    <w:lvl w:ilvl="4" w:tplc="C9044CAC">
      <w:start w:val="1"/>
      <w:numFmt w:val="bullet"/>
      <w:lvlText w:val="o"/>
      <w:lvlJc w:val="left"/>
      <w:pPr>
        <w:ind w:left="3600" w:hanging="358"/>
      </w:pPr>
      <w:rPr>
        <w:rFonts w:ascii="Courier New" w:hAnsi="Courier New" w:hint="default"/>
      </w:rPr>
    </w:lvl>
    <w:lvl w:ilvl="5" w:tplc="F36630F0">
      <w:start w:val="1"/>
      <w:numFmt w:val="bullet"/>
      <w:lvlText w:val=""/>
      <w:lvlJc w:val="left"/>
      <w:pPr>
        <w:ind w:left="4320" w:hanging="358"/>
      </w:pPr>
      <w:rPr>
        <w:rFonts w:ascii="Wingdings" w:hAnsi="Wingdings" w:hint="default"/>
      </w:rPr>
    </w:lvl>
    <w:lvl w:ilvl="6" w:tplc="DFBCAF60">
      <w:start w:val="1"/>
      <w:numFmt w:val="bullet"/>
      <w:lvlText w:val=""/>
      <w:lvlJc w:val="left"/>
      <w:pPr>
        <w:ind w:left="5040" w:hanging="358"/>
      </w:pPr>
      <w:rPr>
        <w:rFonts w:ascii="Symbol" w:hAnsi="Symbol" w:hint="default"/>
      </w:rPr>
    </w:lvl>
    <w:lvl w:ilvl="7" w:tplc="A75E5818">
      <w:start w:val="1"/>
      <w:numFmt w:val="bullet"/>
      <w:lvlText w:val="o"/>
      <w:lvlJc w:val="left"/>
      <w:pPr>
        <w:ind w:left="5760" w:hanging="358"/>
      </w:pPr>
      <w:rPr>
        <w:rFonts w:ascii="Courier New" w:hAnsi="Courier New" w:hint="default"/>
      </w:rPr>
    </w:lvl>
    <w:lvl w:ilvl="8" w:tplc="1876E6DE">
      <w:start w:val="1"/>
      <w:numFmt w:val="bullet"/>
      <w:lvlText w:val=""/>
      <w:lvlJc w:val="left"/>
      <w:pPr>
        <w:ind w:left="6480" w:hanging="358"/>
      </w:pPr>
      <w:rPr>
        <w:rFonts w:ascii="Wingdings" w:hAnsi="Wingdings" w:hint="default"/>
      </w:rPr>
    </w:lvl>
  </w:abstractNum>
  <w:abstractNum w:abstractNumId="7">
    <w:nsid w:val="77C049AC"/>
    <w:multiLevelType w:val="hybridMultilevel"/>
    <w:tmpl w:val="2A1A7CCC"/>
    <w:lvl w:ilvl="0" w:tplc="FB266DA4">
      <w:start w:val="1"/>
      <w:numFmt w:val="decimal"/>
      <w:lvlText w:val="%1."/>
      <w:lvlJc w:val="left"/>
      <w:pPr>
        <w:ind w:left="720" w:hanging="358"/>
      </w:pPr>
    </w:lvl>
    <w:lvl w:ilvl="1" w:tplc="A02089C2">
      <w:start w:val="1"/>
      <w:numFmt w:val="lowerLetter"/>
      <w:lvlText w:val="%2."/>
      <w:lvlJc w:val="left"/>
      <w:pPr>
        <w:ind w:left="1440" w:hanging="358"/>
      </w:pPr>
    </w:lvl>
    <w:lvl w:ilvl="2" w:tplc="72CC60CA">
      <w:start w:val="1"/>
      <w:numFmt w:val="lowerRoman"/>
      <w:lvlText w:val="%3."/>
      <w:lvlJc w:val="right"/>
      <w:pPr>
        <w:ind w:left="2160" w:hanging="178"/>
      </w:pPr>
    </w:lvl>
    <w:lvl w:ilvl="3" w:tplc="C0B8EEB2">
      <w:start w:val="1"/>
      <w:numFmt w:val="decimal"/>
      <w:lvlText w:val="%4."/>
      <w:lvlJc w:val="left"/>
      <w:pPr>
        <w:ind w:left="2880" w:hanging="358"/>
      </w:pPr>
    </w:lvl>
    <w:lvl w:ilvl="4" w:tplc="C25E12E8">
      <w:start w:val="1"/>
      <w:numFmt w:val="lowerLetter"/>
      <w:lvlText w:val="%5."/>
      <w:lvlJc w:val="left"/>
      <w:pPr>
        <w:ind w:left="3600" w:hanging="358"/>
      </w:pPr>
    </w:lvl>
    <w:lvl w:ilvl="5" w:tplc="C65A0D2E">
      <w:start w:val="1"/>
      <w:numFmt w:val="lowerRoman"/>
      <w:lvlText w:val="%6."/>
      <w:lvlJc w:val="right"/>
      <w:pPr>
        <w:ind w:left="4320" w:hanging="178"/>
      </w:pPr>
    </w:lvl>
    <w:lvl w:ilvl="6" w:tplc="E6A0079C">
      <w:start w:val="1"/>
      <w:numFmt w:val="decimal"/>
      <w:lvlText w:val="%7."/>
      <w:lvlJc w:val="left"/>
      <w:pPr>
        <w:ind w:left="5040" w:hanging="358"/>
      </w:pPr>
    </w:lvl>
    <w:lvl w:ilvl="7" w:tplc="66124766">
      <w:start w:val="1"/>
      <w:numFmt w:val="lowerLetter"/>
      <w:lvlText w:val="%8."/>
      <w:lvlJc w:val="left"/>
      <w:pPr>
        <w:ind w:left="5760" w:hanging="358"/>
      </w:pPr>
    </w:lvl>
    <w:lvl w:ilvl="8" w:tplc="8ED28408">
      <w:start w:val="1"/>
      <w:numFmt w:val="lowerRoman"/>
      <w:lvlText w:val="%9."/>
      <w:lvlJc w:val="right"/>
      <w:pPr>
        <w:ind w:left="6480" w:hanging="178"/>
      </w:pPr>
    </w:lvl>
  </w:abstractNum>
  <w:abstractNum w:abstractNumId="8">
    <w:nsid w:val="7ED800F0"/>
    <w:multiLevelType w:val="hybridMultilevel"/>
    <w:tmpl w:val="408E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7"/>
  </w:num>
  <w:num w:numId="6">
    <w:abstractNumId w:val="1"/>
  </w:num>
  <w:num w:numId="7">
    <w:abstractNumId w:val="2"/>
  </w:num>
  <w:num w:numId="8">
    <w:abstractNumId w:val="8"/>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un Lee">
    <w15:presenceInfo w15:providerId="Teamlab" w15:userId="e2e8eeb9-676c-4f36-ad05-11a2a14648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86"/>
    <w:rsid w:val="00106F83"/>
    <w:rsid w:val="001A5D50"/>
    <w:rsid w:val="001D6C5F"/>
    <w:rsid w:val="00205729"/>
    <w:rsid w:val="00211E9C"/>
    <w:rsid w:val="002739E4"/>
    <w:rsid w:val="00424753"/>
    <w:rsid w:val="004910A4"/>
    <w:rsid w:val="004C0812"/>
    <w:rsid w:val="004D11AF"/>
    <w:rsid w:val="004D731E"/>
    <w:rsid w:val="00510E13"/>
    <w:rsid w:val="005855E9"/>
    <w:rsid w:val="00586686"/>
    <w:rsid w:val="0061354D"/>
    <w:rsid w:val="006B0CD1"/>
    <w:rsid w:val="00703DDD"/>
    <w:rsid w:val="007930CA"/>
    <w:rsid w:val="007A3C62"/>
    <w:rsid w:val="007A42E1"/>
    <w:rsid w:val="007C13DC"/>
    <w:rsid w:val="00831027"/>
    <w:rsid w:val="00831F16"/>
    <w:rsid w:val="008D4A6E"/>
    <w:rsid w:val="00A31DD5"/>
    <w:rsid w:val="00A40C16"/>
    <w:rsid w:val="00A92CBB"/>
    <w:rsid w:val="00AA655F"/>
    <w:rsid w:val="00B04E0C"/>
    <w:rsid w:val="00C805D6"/>
    <w:rsid w:val="00C93BA2"/>
    <w:rsid w:val="00DC7370"/>
    <w:rsid w:val="00E022D8"/>
    <w:rsid w:val="00E0517E"/>
    <w:rsid w:val="00E76036"/>
    <w:rsid w:val="00ED3E94"/>
    <w:rsid w:val="00F76082"/>
    <w:rsid w:val="00F82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98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color w:val="000000"/>
        <w:szCs w:val="22"/>
        <w:lang w:val="en-US" w:eastAsia="en-US" w:bidi="en-US"/>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Arial" w:hAnsi="Arial" w:hint="cs"/>
      <w:lang w:val="en-CA" w:bidi="ar-SA"/>
    </w:rPr>
  </w:style>
  <w:style w:type="paragraph" w:styleId="Heading1">
    <w:name w:val="heading 1"/>
    <w:basedOn w:val="Normal"/>
    <w:next w:val="Normal"/>
    <w:pPr>
      <w:keepNext/>
      <w:spacing w:before="240" w:after="60"/>
      <w:outlineLvl w:val="0"/>
    </w:pPr>
    <w:rPr>
      <w:rFonts w:eastAsia="Times New Roman"/>
      <w:b/>
      <w:bCs/>
      <w:sz w:val="28"/>
      <w:szCs w:val="32"/>
    </w:rPr>
  </w:style>
  <w:style w:type="paragraph" w:styleId="Heading2">
    <w:name w:val="heading 2"/>
    <w:basedOn w:val="Normal"/>
    <w:next w:val="Normal"/>
    <w:pPr>
      <w:keepNext/>
      <w:spacing w:before="240" w:after="60"/>
      <w:outlineLvl w:val="1"/>
    </w:pPr>
    <w:rPr>
      <w:rFonts w:eastAsia="Times New Roman"/>
      <w:b/>
      <w:bCs/>
      <w:i/>
      <w:iCs/>
      <w:sz w:val="24"/>
      <w:szCs w:val="28"/>
    </w:rPr>
  </w:style>
  <w:style w:type="paragraph" w:styleId="Heading3">
    <w:name w:val="heading 3"/>
    <w:basedOn w:val="Normal"/>
    <w:next w:val="Normal"/>
    <w:pPr>
      <w:keepNext/>
      <w:spacing w:before="240" w:after="60"/>
      <w:outlineLvl w:val="2"/>
    </w:pPr>
    <w:rPr>
      <w:rFonts w:eastAsia="Times New Roman"/>
      <w:b/>
      <w:bCs/>
      <w:szCs w:val="26"/>
    </w:rPr>
  </w:style>
  <w:style w:type="paragraph" w:styleId="Heading4">
    <w:name w:val="heading 4"/>
    <w:basedOn w:val="Normal"/>
    <w:next w:val="Normal"/>
    <w:pPr>
      <w:keepNext/>
      <w:spacing w:before="240" w:after="60"/>
      <w:outlineLvl w:val="3"/>
    </w:pPr>
    <w:rPr>
      <w:rFonts w:eastAsia="Times New Roman"/>
      <w:b/>
      <w:bCs/>
      <w:i/>
      <w:szCs w:val="28"/>
    </w:rPr>
  </w:style>
  <w:style w:type="paragraph" w:styleId="Heading5">
    <w:name w:val="heading 5"/>
    <w:basedOn w:val="Normal"/>
    <w:next w:val="Normal"/>
    <w:uiPriority w:val="9"/>
    <w:unhideWhenUsed/>
    <w:qFormat/>
    <w:pPr>
      <w:keepNext/>
      <w:keepLines/>
      <w:spacing w:before="200" w:after="0"/>
      <w:outlineLvl w:val="4"/>
    </w:pPr>
    <w:rPr>
      <w:b/>
      <w:color w:val="444444"/>
      <w:sz w:val="28"/>
    </w:rPr>
  </w:style>
  <w:style w:type="paragraph" w:styleId="Heading6">
    <w:name w:val="heading 6"/>
    <w:basedOn w:val="Normal"/>
    <w:next w:val="Normal"/>
    <w:uiPriority w:val="9"/>
    <w:unhideWhenUsed/>
    <w:qFormat/>
    <w:pPr>
      <w:keepNext/>
      <w:keepLines/>
      <w:spacing w:before="200" w:after="0"/>
      <w:outlineLvl w:val="5"/>
    </w:pPr>
    <w:rPr>
      <w:i/>
      <w:color w:val="232323"/>
      <w:sz w:val="28"/>
    </w:rPr>
  </w:style>
  <w:style w:type="paragraph" w:styleId="Heading7">
    <w:name w:val="heading 7"/>
    <w:basedOn w:val="Normal"/>
    <w:next w:val="Normal"/>
    <w:uiPriority w:val="9"/>
    <w:unhideWhenUsed/>
    <w:qFormat/>
    <w:pPr>
      <w:keepNext/>
      <w:keepLines/>
      <w:spacing w:before="200" w:after="0"/>
      <w:outlineLvl w:val="6"/>
    </w:pPr>
    <w:rPr>
      <w:b/>
      <w:color w:val="606060"/>
      <w:sz w:val="24"/>
    </w:rPr>
  </w:style>
  <w:style w:type="paragraph" w:styleId="Heading8">
    <w:name w:val="heading 8"/>
    <w:basedOn w:val="Normal"/>
    <w:next w:val="Normal"/>
    <w:uiPriority w:val="9"/>
    <w:unhideWhenUsed/>
    <w:qFormat/>
    <w:pPr>
      <w:keepNext/>
      <w:keepLines/>
      <w:spacing w:before="200" w:after="0"/>
      <w:outlineLvl w:val="7"/>
    </w:pPr>
    <w:rPr>
      <w:color w:val="444444"/>
      <w:sz w:val="24"/>
    </w:rPr>
  </w:style>
  <w:style w:type="paragraph" w:styleId="Heading9">
    <w:name w:val="heading 9"/>
    <w:basedOn w:val="Normal"/>
    <w:next w:val="Normal"/>
    <w:uiPriority w:val="9"/>
    <w:unhideWhenUsed/>
    <w:qFormat/>
    <w:pPr>
      <w:keepNext/>
      <w:keepLines/>
      <w:spacing w:before="200" w:after="0"/>
      <w:outlineLvl w:val="8"/>
    </w:pPr>
    <w:rPr>
      <w:i/>
      <w:color w:val="444444"/>
      <w:sz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uiPriority w:val="10"/>
    <w:qFormat/>
    <w:pPr>
      <w:pBdr>
        <w:bottom w:val="single" w:sz="24" w:space="0" w:color="000000"/>
      </w:pBdr>
      <w:spacing w:before="300" w:after="80" w:line="240" w:lineRule="auto"/>
    </w:pPr>
    <w:rPr>
      <w:b/>
      <w:sz w:val="72"/>
    </w:rPr>
  </w:style>
  <w:style w:type="paragraph" w:styleId="Subtitle">
    <w:name w:val="Subtitle"/>
    <w:basedOn w:val="Normal"/>
    <w:next w:val="Normal"/>
    <w:uiPriority w:val="11"/>
    <w:qFormat/>
    <w:pPr>
      <w:spacing w:line="240" w:lineRule="auto"/>
    </w:pPr>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A6A6A6"/>
      </w:tcPr>
    </w:tblStylePr>
    <w:tblStylePr w:type="lastRow">
      <w:tblPr/>
      <w:tcPr>
        <w:shd w:val="clear" w:color="auto" w:fill="A6A6A6"/>
      </w:tcPr>
    </w:tblStylePr>
    <w:tblStylePr w:type="firstCol">
      <w:tblPr/>
      <w:tcPr>
        <w:shd w:val="clear" w:color="auto" w:fill="A6A6A6"/>
      </w:tcPr>
    </w:tblStylePr>
    <w:tblStylePr w:type="lastCol">
      <w:tblPr/>
      <w:tcPr>
        <w:shd w:val="clear" w:color="auto" w:fill="A6A6A6"/>
      </w:tcPr>
    </w:tblStylePr>
    <w:tblStylePr w:type="band2Vert">
      <w:tblPr/>
      <w:tcPr>
        <w:shd w:val="clear" w:color="auto" w:fill="D9D9D9"/>
      </w:tcPr>
    </w:tblStylePr>
    <w:tblStylePr w:type="band2Horz">
      <w:tblPr/>
      <w:tcPr>
        <w:shd w:val="clear" w:color="auto" w:fill="D9D9D9"/>
      </w:tcPr>
    </w:tblStylePr>
  </w:style>
  <w:style w:type="table" w:customStyle="1" w:styleId="Lined-Accent1">
    <w:name w:val="Lined - Accent 1"/>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95B3D7"/>
      </w:tcPr>
    </w:tblStylePr>
    <w:tblStylePr w:type="lastRow">
      <w:tblPr/>
      <w:tcPr>
        <w:shd w:val="clear" w:color="auto" w:fill="95B3D7"/>
      </w:tcPr>
    </w:tblStylePr>
    <w:tblStylePr w:type="firstCol">
      <w:tblPr/>
      <w:tcPr>
        <w:shd w:val="clear" w:color="auto" w:fill="95B3D7"/>
      </w:tcPr>
    </w:tblStylePr>
    <w:tblStylePr w:type="lastCol">
      <w:tblPr/>
      <w:tcPr>
        <w:shd w:val="clear" w:color="auto" w:fill="95B3D7"/>
      </w:tcPr>
    </w:tblStylePr>
    <w:tblStylePr w:type="band2Vert">
      <w:tblPr/>
      <w:tcPr>
        <w:shd w:val="clear" w:color="auto" w:fill="DBE5F1"/>
      </w:tcPr>
    </w:tblStylePr>
    <w:tblStylePr w:type="band2Horz">
      <w:tblPr/>
      <w:tcPr>
        <w:shd w:val="clear" w:color="auto" w:fill="DBE5F1"/>
      </w:tcPr>
    </w:tblStylePr>
  </w:style>
  <w:style w:type="table" w:customStyle="1" w:styleId="Lined-Accent2">
    <w:name w:val="Lined - Accent 2"/>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D99594"/>
      </w:tcPr>
    </w:tblStylePr>
    <w:tblStylePr w:type="lastRow">
      <w:tblPr/>
      <w:tcPr>
        <w:shd w:val="clear" w:color="auto" w:fill="D99594"/>
      </w:tcPr>
    </w:tblStylePr>
    <w:tblStylePr w:type="firstCol">
      <w:tblPr/>
      <w:tcPr>
        <w:shd w:val="clear" w:color="auto" w:fill="D99594"/>
      </w:tcPr>
    </w:tblStylePr>
    <w:tblStylePr w:type="lastCol">
      <w:tblPr/>
      <w:tcPr>
        <w:shd w:val="clear" w:color="auto" w:fill="D99594"/>
      </w:tcPr>
    </w:tblStylePr>
    <w:tblStylePr w:type="band2Vert">
      <w:tblPr/>
      <w:tcPr>
        <w:shd w:val="clear" w:color="auto" w:fill="F2DBDB"/>
      </w:tcPr>
    </w:tblStylePr>
    <w:tblStylePr w:type="band2Horz">
      <w:tblPr/>
      <w:tcPr>
        <w:shd w:val="clear" w:color="auto" w:fill="F2DBDB"/>
      </w:tcPr>
    </w:tblStylePr>
  </w:style>
  <w:style w:type="table" w:customStyle="1" w:styleId="Lined-Accent3">
    <w:name w:val="Lined - Accent 3"/>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C2D69B"/>
      </w:tcPr>
    </w:tblStylePr>
    <w:tblStylePr w:type="lastRow">
      <w:tblPr/>
      <w:tcPr>
        <w:shd w:val="clear" w:color="auto" w:fill="C2D69B"/>
      </w:tcPr>
    </w:tblStylePr>
    <w:tblStylePr w:type="firstCol">
      <w:tblPr/>
      <w:tcPr>
        <w:shd w:val="clear" w:color="auto" w:fill="C2D69B"/>
      </w:tcPr>
    </w:tblStylePr>
    <w:tblStylePr w:type="lastCol">
      <w:tblPr/>
      <w:tcPr>
        <w:shd w:val="clear" w:color="auto" w:fill="C2D69B"/>
      </w:tcPr>
    </w:tblStylePr>
    <w:tblStylePr w:type="band2Vert">
      <w:tblPr/>
      <w:tcPr>
        <w:shd w:val="clear" w:color="auto" w:fill="EAF1DD"/>
      </w:tcPr>
    </w:tblStylePr>
    <w:tblStylePr w:type="band2Horz">
      <w:tblPr/>
      <w:tcPr>
        <w:shd w:val="clear" w:color="auto" w:fill="EAF1DD"/>
      </w:tcPr>
    </w:tblStylePr>
  </w:style>
  <w:style w:type="table" w:customStyle="1" w:styleId="Lined-Accent4">
    <w:name w:val="Lined - Accent 4"/>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B2A1C7"/>
      </w:tcPr>
    </w:tblStylePr>
    <w:tblStylePr w:type="lastRow">
      <w:tblPr/>
      <w:tcPr>
        <w:shd w:val="clear" w:color="auto" w:fill="B2A1C7"/>
      </w:tcPr>
    </w:tblStylePr>
    <w:tblStylePr w:type="firstCol">
      <w:tblPr/>
      <w:tcPr>
        <w:shd w:val="clear" w:color="auto" w:fill="B2A1C7"/>
      </w:tcPr>
    </w:tblStylePr>
    <w:tblStylePr w:type="lastCol">
      <w:tblPr/>
      <w:tcPr>
        <w:shd w:val="clear" w:color="auto" w:fill="B2A1C7"/>
      </w:tcPr>
    </w:tblStylePr>
    <w:tblStylePr w:type="band2Vert">
      <w:tblPr/>
      <w:tcPr>
        <w:shd w:val="clear" w:color="auto" w:fill="E5DFEC"/>
      </w:tcPr>
    </w:tblStylePr>
    <w:tblStylePr w:type="band2Horz">
      <w:tblPr/>
      <w:tcPr>
        <w:shd w:val="clear" w:color="auto" w:fill="E5DFEC"/>
      </w:tcPr>
    </w:tblStylePr>
  </w:style>
  <w:style w:type="table" w:customStyle="1" w:styleId="Lined-Accent5">
    <w:name w:val="Lined - Accent 5"/>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92CDDC"/>
      </w:tcPr>
    </w:tblStylePr>
    <w:tblStylePr w:type="lastRow">
      <w:tblPr/>
      <w:tcPr>
        <w:shd w:val="clear" w:color="auto" w:fill="92CDDC"/>
      </w:tcPr>
    </w:tblStylePr>
    <w:tblStylePr w:type="firstCol">
      <w:tblPr/>
      <w:tcPr>
        <w:shd w:val="clear" w:color="auto" w:fill="92CDDC"/>
      </w:tcPr>
    </w:tblStylePr>
    <w:tblStylePr w:type="lastCol">
      <w:tblPr/>
      <w:tcPr>
        <w:shd w:val="clear" w:color="auto" w:fill="92CDDC"/>
      </w:tcPr>
    </w:tblStylePr>
    <w:tblStylePr w:type="band2Vert">
      <w:tblPr/>
      <w:tcPr>
        <w:shd w:val="clear" w:color="auto" w:fill="DAEEF3"/>
      </w:tcPr>
    </w:tblStylePr>
    <w:tblStylePr w:type="band2Horz">
      <w:tblPr/>
      <w:tcPr>
        <w:shd w:val="clear" w:color="auto" w:fill="DAEEF3"/>
      </w:tcPr>
    </w:tblStylePr>
  </w:style>
  <w:style w:type="table" w:customStyle="1" w:styleId="Lined-Accent6">
    <w:name w:val="Lined - Accent 6"/>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FABF8F"/>
      </w:tcPr>
    </w:tblStylePr>
    <w:tblStylePr w:type="lastRow">
      <w:tblPr/>
      <w:tcPr>
        <w:shd w:val="clear" w:color="auto" w:fill="FABF8F"/>
      </w:tcPr>
    </w:tblStylePr>
    <w:tblStylePr w:type="firstCol">
      <w:tblPr/>
      <w:tcPr>
        <w:shd w:val="clear" w:color="auto" w:fill="FABF8F"/>
      </w:tcPr>
    </w:tblStylePr>
    <w:tblStylePr w:type="lastCol">
      <w:tblPr/>
      <w:tcPr>
        <w:shd w:val="clear" w:color="auto" w:fill="FABF8F"/>
      </w:tcPr>
    </w:tblStylePr>
    <w:tblStylePr w:type="band2Vert">
      <w:tblPr/>
      <w:tcPr>
        <w:shd w:val="clear" w:color="auto" w:fill="FDE9E9"/>
      </w:tcPr>
    </w:tblStylePr>
    <w:tblStylePr w:type="band2Horz">
      <w:tblPr/>
      <w:tcPr>
        <w:shd w:val="clear" w:color="auto" w:fill="FDE9E9"/>
      </w:tcPr>
    </w:tblStylePr>
  </w:style>
  <w:style w:type="table" w:customStyle="1" w:styleId="Bordered">
    <w:name w:val="Bordered"/>
    <w:basedOn w:val="TableNormal"/>
    <w:uiPriority w:val="99"/>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0" w:type="dxa"/>
        <w:bottom w:w="0" w:type="dxa"/>
        <w:right w:w="0" w:type="dxa"/>
      </w:tblCellMar>
    </w:tblPr>
    <w:tblStylePr w:type="firstRow">
      <w:tblPr/>
      <w:tcPr>
        <w:tcBorders>
          <w:bottom w:val="single" w:sz="18" w:space="0" w:color="000000"/>
        </w:tcBorders>
      </w:tcPr>
    </w:tblStylePr>
    <w:tblStylePr w:type="lastRow">
      <w:tblPr/>
      <w:tcPr>
        <w:tcBorders>
          <w:top w:val="single" w:sz="18" w:space="0" w:color="000000"/>
        </w:tcBorders>
      </w:tcPr>
    </w:tblStylePr>
    <w:tblStylePr w:type="firstCol">
      <w:tblPr/>
      <w:tcPr>
        <w:tcBorders>
          <w:right w:val="single" w:sz="18" w:space="0" w:color="000000"/>
        </w:tcBorders>
      </w:tcPr>
    </w:tblStylePr>
    <w:tblStylePr w:type="lastCol">
      <w:tblPr/>
      <w:tcPr>
        <w:tcBorders>
          <w:left w:val="single" w:sz="18" w:space="0" w:color="000000"/>
        </w:tcBorders>
      </w:tcPr>
    </w:tblStylePr>
  </w:style>
  <w:style w:type="table" w:customStyle="1" w:styleId="Bordered-Accent1">
    <w:name w:val="Bordered - Accent 1"/>
    <w:basedOn w:val="TableNormal"/>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0" w:type="dxa"/>
        <w:bottom w:w="0" w:type="dxa"/>
        <w:right w:w="0" w:type="dxa"/>
      </w:tblCellMar>
    </w:tblPr>
    <w:tblStylePr w:type="firstRow">
      <w:tblPr/>
      <w:tcPr>
        <w:tcBorders>
          <w:bottom w:val="single" w:sz="18" w:space="0" w:color="365F91"/>
        </w:tcBorders>
      </w:tcPr>
    </w:tblStylePr>
    <w:tblStylePr w:type="lastRow">
      <w:tblPr/>
      <w:tcPr>
        <w:tcBorders>
          <w:top w:val="single" w:sz="18" w:space="0" w:color="365F91"/>
        </w:tcBorders>
      </w:tcPr>
    </w:tblStylePr>
    <w:tblStylePr w:type="firstCol">
      <w:tblPr/>
      <w:tcPr>
        <w:tcBorders>
          <w:right w:val="single" w:sz="18" w:space="0" w:color="365F91"/>
        </w:tcBorders>
      </w:tcPr>
    </w:tblStylePr>
    <w:tblStylePr w:type="lastCol">
      <w:tblPr/>
      <w:tcPr>
        <w:tcBorders>
          <w:left w:val="single" w:sz="18" w:space="0" w:color="365F91"/>
        </w:tcBorders>
      </w:tcPr>
    </w:tblStylePr>
  </w:style>
  <w:style w:type="table" w:customStyle="1" w:styleId="Bordered-Accent2">
    <w:name w:val="Bordered - Accent 2"/>
    <w:basedOn w:val="TableNormal"/>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0" w:type="dxa"/>
        <w:left w:w="0" w:type="dxa"/>
        <w:bottom w:w="0" w:type="dxa"/>
        <w:right w:w="0" w:type="dxa"/>
      </w:tblCellMar>
    </w:tblPr>
    <w:tblStylePr w:type="firstRow">
      <w:tblPr/>
      <w:tcPr>
        <w:tcBorders>
          <w:bottom w:val="single" w:sz="18" w:space="0" w:color="943634"/>
        </w:tcBorders>
      </w:tcPr>
    </w:tblStylePr>
    <w:tblStylePr w:type="lastRow">
      <w:tblPr/>
      <w:tcPr>
        <w:tcBorders>
          <w:top w:val="single" w:sz="18" w:space="0" w:color="943634"/>
        </w:tcBorders>
      </w:tcPr>
    </w:tblStylePr>
    <w:tblStylePr w:type="firstCol">
      <w:tblPr/>
      <w:tcPr>
        <w:tcBorders>
          <w:right w:val="single" w:sz="18" w:space="0" w:color="943634"/>
        </w:tcBorders>
      </w:tcPr>
    </w:tblStylePr>
    <w:tblStylePr w:type="lastCol">
      <w:tblPr/>
      <w:tcPr>
        <w:tcBorders>
          <w:left w:val="single" w:sz="18" w:space="0" w:color="943634"/>
        </w:tcBorders>
      </w:tcPr>
    </w:tblStylePr>
  </w:style>
  <w:style w:type="table" w:customStyle="1" w:styleId="Bordered-Accent3">
    <w:name w:val="Bordered - Accent 3"/>
    <w:basedOn w:val="TableNormal"/>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0" w:type="dxa"/>
        <w:left w:w="0" w:type="dxa"/>
        <w:bottom w:w="0" w:type="dxa"/>
        <w:right w:w="0" w:type="dxa"/>
      </w:tblCellMar>
    </w:tblPr>
    <w:tblStylePr w:type="firstRow">
      <w:tblPr/>
      <w:tcPr>
        <w:tcBorders>
          <w:bottom w:val="single" w:sz="18" w:space="0" w:color="76923C"/>
        </w:tcBorders>
      </w:tcPr>
    </w:tblStylePr>
    <w:tblStylePr w:type="lastRow">
      <w:tblPr/>
      <w:tcPr>
        <w:tcBorders>
          <w:top w:val="single" w:sz="18" w:space="0" w:color="76923C"/>
        </w:tcBorders>
      </w:tcPr>
    </w:tblStylePr>
    <w:tblStylePr w:type="firstCol">
      <w:tblPr/>
      <w:tcPr>
        <w:tcBorders>
          <w:right w:val="single" w:sz="18" w:space="0" w:color="76923C"/>
        </w:tcBorders>
      </w:tcPr>
    </w:tblStylePr>
    <w:tblStylePr w:type="lastCol">
      <w:tblPr/>
      <w:tcPr>
        <w:tcBorders>
          <w:left w:val="single" w:sz="18" w:space="0" w:color="76923C"/>
        </w:tcBorders>
      </w:tcPr>
    </w:tblStylePr>
  </w:style>
  <w:style w:type="table" w:customStyle="1" w:styleId="Bordered-Accent4">
    <w:name w:val="Bordered - Accent 4"/>
    <w:basedOn w:val="TableNormal"/>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0" w:type="dxa"/>
        <w:left w:w="0" w:type="dxa"/>
        <w:bottom w:w="0" w:type="dxa"/>
        <w:right w:w="0" w:type="dxa"/>
      </w:tblCellMar>
    </w:tblPr>
    <w:tblStylePr w:type="firstRow">
      <w:tblPr/>
      <w:tcPr>
        <w:tcBorders>
          <w:bottom w:val="single" w:sz="18" w:space="0" w:color="5F497A"/>
        </w:tcBorders>
      </w:tcPr>
    </w:tblStylePr>
    <w:tblStylePr w:type="lastRow">
      <w:tblPr/>
      <w:tcPr>
        <w:tcBorders>
          <w:top w:val="single" w:sz="18" w:space="0" w:color="5F497A"/>
        </w:tcBorders>
      </w:tcPr>
    </w:tblStylePr>
    <w:tblStylePr w:type="firstCol">
      <w:tblPr/>
      <w:tcPr>
        <w:tcBorders>
          <w:right w:val="single" w:sz="18" w:space="0" w:color="5F497A"/>
        </w:tcBorders>
      </w:tcPr>
    </w:tblStylePr>
    <w:tblStylePr w:type="lastCol">
      <w:tblPr/>
      <w:tcPr>
        <w:tcBorders>
          <w:left w:val="single" w:sz="18" w:space="0" w:color="5F497A"/>
        </w:tcBorders>
      </w:tcPr>
    </w:tblStylePr>
  </w:style>
  <w:style w:type="table" w:customStyle="1" w:styleId="Bordered-Accent5">
    <w:name w:val="Bordered - Accent 5"/>
    <w:basedOn w:val="TableNormal"/>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tblPr/>
      <w:tcPr>
        <w:tcBorders>
          <w:bottom w:val="single" w:sz="18" w:space="0" w:color="31849B"/>
        </w:tcBorders>
      </w:tcPr>
    </w:tblStylePr>
    <w:tblStylePr w:type="lastRow">
      <w:tblPr/>
      <w:tcPr>
        <w:tcBorders>
          <w:top w:val="single" w:sz="18" w:space="0" w:color="31849B"/>
        </w:tcBorders>
      </w:tcPr>
    </w:tblStylePr>
    <w:tblStylePr w:type="firstCol">
      <w:tblPr/>
      <w:tcPr>
        <w:tcBorders>
          <w:right w:val="single" w:sz="18" w:space="0" w:color="31849B"/>
        </w:tcBorders>
      </w:tcPr>
    </w:tblStylePr>
    <w:tblStylePr w:type="lastCol">
      <w:tblPr/>
      <w:tcPr>
        <w:tcBorders>
          <w:left w:val="single" w:sz="18" w:space="0" w:color="31849B"/>
        </w:tcBorders>
      </w:tcPr>
    </w:tblStylePr>
  </w:style>
  <w:style w:type="table" w:customStyle="1" w:styleId="Bordered-Accent6">
    <w:name w:val="Bordered - Accent 6"/>
    <w:basedOn w:val="TableNormal"/>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tblPr/>
      <w:tcPr>
        <w:tcBorders>
          <w:bottom w:val="single" w:sz="18" w:space="0" w:color="E36C0A"/>
        </w:tcBorders>
      </w:tcPr>
    </w:tblStylePr>
    <w:tblStylePr w:type="lastRow">
      <w:tblPr/>
      <w:tcPr>
        <w:tcBorders>
          <w:top w:val="single" w:sz="18" w:space="0" w:color="E36C0A"/>
        </w:tcBorders>
      </w:tcPr>
    </w:tblStylePr>
    <w:tblStylePr w:type="firstCol">
      <w:tblPr/>
      <w:tcPr>
        <w:tcBorders>
          <w:right w:val="single" w:sz="18" w:space="0" w:color="E36C0A"/>
        </w:tcBorders>
      </w:tcPr>
    </w:tblStylePr>
    <w:tblStylePr w:type="lastCol">
      <w:tblPr/>
      <w:tcPr>
        <w:tcBorders>
          <w:left w:val="single" w:sz="18" w:space="0" w:color="E36C0A"/>
        </w:tcBorders>
      </w:tcPr>
    </w:tblStylePr>
  </w:style>
  <w:style w:type="table" w:customStyle="1" w:styleId="BorderedLined">
    <w:name w:val="Bordered &amp; Lined"/>
    <w:basedOn w:val="TableNormal"/>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tblPr/>
      <w:tcPr>
        <w:shd w:val="clear" w:color="auto" w:fill="A6A6A6"/>
      </w:tcPr>
    </w:tblStylePr>
    <w:tblStylePr w:type="lastRow">
      <w:tblPr/>
      <w:tcPr>
        <w:shd w:val="clear" w:color="auto" w:fill="A6A6A6"/>
      </w:tcPr>
    </w:tblStylePr>
    <w:tblStylePr w:type="firstCol">
      <w:tblPr/>
      <w:tcPr>
        <w:shd w:val="clear" w:color="auto" w:fill="A6A6A6"/>
      </w:tcPr>
    </w:tblStylePr>
    <w:tblStylePr w:type="lastCol">
      <w:tblPr/>
      <w:tcPr>
        <w:shd w:val="clear" w:color="auto" w:fill="A6A6A6"/>
      </w:tcPr>
    </w:tblStylePr>
    <w:tblStylePr w:type="band2Vert">
      <w:tblPr/>
      <w:tcPr>
        <w:shd w:val="clear" w:color="auto" w:fill="D9D9D9"/>
      </w:tcPr>
    </w:tblStylePr>
    <w:tblStylePr w:type="band2Horz">
      <w:tblPr/>
      <w:tcPr>
        <w:shd w:val="clear" w:color="auto" w:fill="D9D9D9"/>
      </w:tcPr>
    </w:tblStylePr>
  </w:style>
  <w:style w:type="table" w:customStyle="1" w:styleId="BorderedLined-Accent1">
    <w:name w:val="Bordered &amp; Lined - Accent 1"/>
    <w:basedOn w:val="TableNormal"/>
    <w:uiPriority w:val="99"/>
    <w:tblPr>
      <w:tblStyleRowBandSize w:val="1"/>
      <w:tblStyleColBandSize w:val="1"/>
      <w:tblInd w:w="0" w:type="dxa"/>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CellMar>
        <w:top w:w="0" w:type="dxa"/>
        <w:left w:w="0" w:type="dxa"/>
        <w:bottom w:w="0" w:type="dxa"/>
        <w:right w:w="0" w:type="dxa"/>
      </w:tblCellMar>
    </w:tblPr>
    <w:tblStylePr w:type="firstRow">
      <w:tblPr/>
      <w:tcPr>
        <w:shd w:val="clear" w:color="auto" w:fill="8DB3E2"/>
      </w:tcPr>
    </w:tblStylePr>
    <w:tblStylePr w:type="lastRow">
      <w:tblPr/>
      <w:tcPr>
        <w:shd w:val="clear" w:color="auto" w:fill="8DB3E2"/>
      </w:tcPr>
    </w:tblStylePr>
    <w:tblStylePr w:type="firstCol">
      <w:tblPr/>
      <w:tcPr>
        <w:shd w:val="clear" w:color="auto" w:fill="8DB3E2"/>
      </w:tcPr>
    </w:tblStylePr>
    <w:tblStylePr w:type="lastCol">
      <w:tblPr/>
      <w:tcPr>
        <w:shd w:val="clear" w:color="auto" w:fill="8DB3E2"/>
      </w:tcPr>
    </w:tblStylePr>
    <w:tblStylePr w:type="band2Vert">
      <w:tblPr/>
      <w:tcPr>
        <w:shd w:val="clear" w:color="auto" w:fill="DBE5F1"/>
      </w:tcPr>
    </w:tblStylePr>
    <w:tblStylePr w:type="band2Horz">
      <w:tblPr/>
      <w:tcPr>
        <w:shd w:val="clear" w:color="auto" w:fill="DBE5F1"/>
      </w:tcPr>
    </w:tblStylePr>
  </w:style>
  <w:style w:type="table" w:customStyle="1" w:styleId="BorderedLined-Accent2">
    <w:name w:val="Bordered &amp; Lined - Accent 2"/>
    <w:basedOn w:val="TableNormal"/>
    <w:uiPriority w:val="99"/>
    <w:tblPr>
      <w:tblStyleRowBandSize w:val="1"/>
      <w:tblStyleColBandSize w:val="1"/>
      <w:tblInd w:w="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CellMar>
        <w:top w:w="0" w:type="dxa"/>
        <w:left w:w="0" w:type="dxa"/>
        <w:bottom w:w="0" w:type="dxa"/>
        <w:right w:w="0" w:type="dxa"/>
      </w:tblCellMar>
    </w:tblPr>
    <w:tblStylePr w:type="firstRow">
      <w:tblPr/>
      <w:tcPr>
        <w:shd w:val="clear" w:color="auto" w:fill="D99594"/>
      </w:tcPr>
    </w:tblStylePr>
    <w:tblStylePr w:type="lastRow">
      <w:tblPr/>
      <w:tcPr>
        <w:shd w:val="clear" w:color="auto" w:fill="D99594"/>
      </w:tcPr>
    </w:tblStylePr>
    <w:tblStylePr w:type="firstCol">
      <w:tblPr/>
      <w:tcPr>
        <w:shd w:val="clear" w:color="auto" w:fill="D99594"/>
      </w:tcPr>
    </w:tblStylePr>
    <w:tblStylePr w:type="lastCol">
      <w:tblPr/>
      <w:tcPr>
        <w:shd w:val="clear" w:color="auto" w:fill="D99594"/>
      </w:tcPr>
    </w:tblStylePr>
    <w:tblStylePr w:type="band2Vert">
      <w:tblPr/>
      <w:tcPr>
        <w:shd w:val="clear" w:color="auto" w:fill="F2DBDB"/>
      </w:tcPr>
    </w:tblStylePr>
    <w:tblStylePr w:type="band2Horz">
      <w:tblPr/>
      <w:tcPr>
        <w:shd w:val="clear" w:color="auto" w:fill="F2DBDB"/>
      </w:tcPr>
    </w:tblStylePr>
  </w:style>
  <w:style w:type="table" w:customStyle="1" w:styleId="BorderedLined-Accent3">
    <w:name w:val="Bordered &amp; Lined - Accent 3"/>
    <w:basedOn w:val="TableNormal"/>
    <w:uiPriority w:val="99"/>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0" w:type="dxa"/>
        <w:bottom w:w="0" w:type="dxa"/>
        <w:right w:w="0" w:type="dxa"/>
      </w:tblCellMar>
    </w:tblPr>
    <w:tblStylePr w:type="firstRow">
      <w:tblPr/>
      <w:tcPr>
        <w:shd w:val="clear" w:color="auto" w:fill="C2D69B"/>
      </w:tcPr>
    </w:tblStylePr>
    <w:tblStylePr w:type="lastRow">
      <w:tblPr/>
      <w:tcPr>
        <w:shd w:val="clear" w:color="auto" w:fill="C2D69B"/>
      </w:tcPr>
    </w:tblStylePr>
    <w:tblStylePr w:type="firstCol">
      <w:tblPr/>
      <w:tcPr>
        <w:shd w:val="clear" w:color="auto" w:fill="C2D69B"/>
      </w:tcPr>
    </w:tblStylePr>
    <w:tblStylePr w:type="lastCol">
      <w:tblPr/>
      <w:tcPr>
        <w:shd w:val="clear" w:color="auto" w:fill="C2D69B"/>
      </w:tcPr>
    </w:tblStylePr>
    <w:tblStylePr w:type="band2Vert">
      <w:tblPr/>
      <w:tcPr>
        <w:shd w:val="clear" w:color="auto" w:fill="EAF1DD"/>
      </w:tcPr>
    </w:tblStylePr>
    <w:tblStylePr w:type="band2Horz">
      <w:tblPr/>
      <w:tcPr>
        <w:shd w:val="clear" w:color="auto" w:fill="EAF1DD"/>
      </w:tcPr>
    </w:tblStylePr>
  </w:style>
  <w:style w:type="table" w:customStyle="1" w:styleId="BorderedLined-Accent4">
    <w:name w:val="Bordered &amp; Lined - Accent 4"/>
    <w:basedOn w:val="TableNormal"/>
    <w:uiPriority w:val="99"/>
    <w:tblPr>
      <w:tblStyleRowBandSize w:val="1"/>
      <w:tblStyleColBandSize w:val="1"/>
      <w:tblInd w:w="0" w:type="dxa"/>
      <w:tblBorders>
        <w:top w:val="single" w:sz="4" w:space="0" w:color="5F497A"/>
        <w:left w:val="single" w:sz="4" w:space="0" w:color="5F497A"/>
        <w:bottom w:val="single" w:sz="4" w:space="0" w:color="5F497A"/>
        <w:right w:val="single" w:sz="4" w:space="0" w:color="5F497A"/>
        <w:insideH w:val="single" w:sz="4" w:space="0" w:color="5F497A"/>
        <w:insideV w:val="single" w:sz="4" w:space="0" w:color="5F497A"/>
      </w:tblBorders>
      <w:tblCellMar>
        <w:top w:w="0" w:type="dxa"/>
        <w:left w:w="0" w:type="dxa"/>
        <w:bottom w:w="0" w:type="dxa"/>
        <w:right w:w="0" w:type="dxa"/>
      </w:tblCellMar>
    </w:tblPr>
    <w:tblStylePr w:type="firstRow">
      <w:tblPr/>
      <w:tcPr>
        <w:shd w:val="clear" w:color="auto" w:fill="B2A1C7"/>
      </w:tcPr>
    </w:tblStylePr>
    <w:tblStylePr w:type="lastRow">
      <w:tblPr/>
      <w:tcPr>
        <w:shd w:val="clear" w:color="auto" w:fill="B2A1C7"/>
      </w:tcPr>
    </w:tblStylePr>
    <w:tblStylePr w:type="firstCol">
      <w:tblPr/>
      <w:tcPr>
        <w:shd w:val="clear" w:color="auto" w:fill="B2A1C7"/>
      </w:tcPr>
    </w:tblStylePr>
    <w:tblStylePr w:type="lastCol">
      <w:tblPr/>
      <w:tcPr>
        <w:shd w:val="clear" w:color="auto" w:fill="B2A1C7"/>
      </w:tcPr>
    </w:tblStylePr>
    <w:tblStylePr w:type="band2Vert">
      <w:tblPr/>
      <w:tcPr>
        <w:shd w:val="clear" w:color="auto" w:fill="E5DFEC"/>
      </w:tcPr>
    </w:tblStylePr>
    <w:tblStylePr w:type="band2Horz">
      <w:tblPr/>
      <w:tcPr>
        <w:shd w:val="clear" w:color="auto" w:fill="E5DFEC"/>
      </w:tcPr>
    </w:tblStylePr>
  </w:style>
  <w:style w:type="table" w:customStyle="1" w:styleId="BorderedLined-Accent5">
    <w:name w:val="Bordered &amp; Lined - Accent 5"/>
    <w:basedOn w:val="TableNormal"/>
    <w:uiPriority w:val="99"/>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0" w:type="dxa"/>
        <w:left w:w="0" w:type="dxa"/>
        <w:bottom w:w="0" w:type="dxa"/>
        <w:right w:w="0" w:type="dxa"/>
      </w:tblCellMar>
    </w:tblPr>
    <w:tblStylePr w:type="firstRow">
      <w:tblPr/>
      <w:tcPr>
        <w:shd w:val="clear" w:color="auto" w:fill="92CDDC"/>
      </w:tcPr>
    </w:tblStylePr>
    <w:tblStylePr w:type="lastRow">
      <w:tblPr/>
      <w:tcPr>
        <w:shd w:val="clear" w:color="auto" w:fill="92CDDC"/>
      </w:tcPr>
    </w:tblStylePr>
    <w:tblStylePr w:type="firstCol">
      <w:tblPr/>
      <w:tcPr>
        <w:shd w:val="clear" w:color="auto" w:fill="92CDDC"/>
      </w:tcPr>
    </w:tblStylePr>
    <w:tblStylePr w:type="lastCol">
      <w:tblPr/>
      <w:tcPr>
        <w:shd w:val="clear" w:color="auto" w:fill="92CDDC"/>
      </w:tcPr>
    </w:tblStylePr>
    <w:tblStylePr w:type="band2Vert">
      <w:tblPr/>
      <w:tcPr>
        <w:shd w:val="clear" w:color="auto" w:fill="DAEEF3"/>
      </w:tcPr>
    </w:tblStylePr>
    <w:tblStylePr w:type="band2Horz">
      <w:tblPr/>
      <w:tcPr>
        <w:shd w:val="clear" w:color="auto" w:fill="DAEEF3"/>
      </w:tcPr>
    </w:tblStylePr>
  </w:style>
  <w:style w:type="table" w:customStyle="1" w:styleId="BorderedLined-Accent6">
    <w:name w:val="Bordered &amp; Lined - Accent 6"/>
    <w:basedOn w:val="TableNormal"/>
    <w:uiPriority w:val="99"/>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0" w:type="dxa"/>
        <w:left w:w="0" w:type="dxa"/>
        <w:bottom w:w="0" w:type="dxa"/>
        <w:right w:w="0" w:type="dxa"/>
      </w:tblCellMar>
    </w:tblPr>
    <w:tblStylePr w:type="firstRow">
      <w:tblPr/>
      <w:tcPr>
        <w:shd w:val="clear" w:color="auto" w:fill="FABF8F"/>
      </w:tcPr>
    </w:tblStylePr>
    <w:tblStylePr w:type="lastRow">
      <w:tblPr/>
      <w:tcPr>
        <w:shd w:val="clear" w:color="auto" w:fill="FABF8F"/>
      </w:tcPr>
    </w:tblStylePr>
    <w:tblStylePr w:type="firstCol">
      <w:tblPr/>
      <w:tcPr>
        <w:shd w:val="clear" w:color="auto" w:fill="FABF8F"/>
      </w:tcPr>
    </w:tblStylePr>
    <w:tblStylePr w:type="lastCol">
      <w:tblPr/>
      <w:tcPr>
        <w:shd w:val="clear" w:color="auto" w:fill="FABF8F"/>
      </w:tcPr>
    </w:tblStylePr>
    <w:tblStylePr w:type="band2Vert">
      <w:tblPr/>
      <w:tcPr>
        <w:shd w:val="clear" w:color="auto" w:fill="FDE9D9"/>
      </w:tcPr>
    </w:tblStylePr>
    <w:tblStylePr w:type="band2Horz">
      <w:tblPr/>
      <w:tcPr>
        <w:shd w:val="clear" w:color="auto" w:fill="FDE9D9"/>
      </w:tcPr>
    </w:tblStylePr>
  </w:style>
  <w:style w:type="table" w:customStyle="1" w:styleId="205">
    <w:name w:val="205"/>
    <w:basedOn w:val="TableNormal0"/>
    <w:tblPr>
      <w:tblStyleRowBandSize w:val="1"/>
      <w:tblStyleColBandSize w:val="1"/>
      <w:tblBorders>
        <w:top w:val="single" w:sz="8" w:space="0" w:color="9BBB59"/>
        <w:left w:val="single" w:sz="8" w:space="0" w:color="9BBB59"/>
        <w:bottom w:val="single" w:sz="8" w:space="0" w:color="9BBB59"/>
        <w:right w:val="single" w:sz="8" w:space="0" w:color="9BBB59"/>
      </w:tblBorders>
      <w:tblCellMar>
        <w:top w:w="0" w:type="dxa"/>
        <w:left w:w="0" w:type="dxa"/>
        <w:bottom w:w="0" w:type="dxa"/>
        <w:right w:w="0" w:type="dxa"/>
      </w:tblCellMar>
    </w:tblPr>
  </w:style>
  <w:style w:type="table" w:customStyle="1" w:styleId="211">
    <w:name w:val="211"/>
    <w:basedOn w:val="TableNormal0"/>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0" w:type="dxa"/>
        <w:bottom w:w="0" w:type="dxa"/>
        <w:right w:w="0" w:type="dxa"/>
      </w:tblCellMar>
    </w:tblPr>
  </w:style>
  <w:style w:type="table" w:customStyle="1" w:styleId="213">
    <w:name w:val="213"/>
    <w:basedOn w:val="TableNormal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0" w:type="dxa"/>
        <w:bottom w:w="0" w:type="dxa"/>
        <w:right w:w="0" w:type="dxa"/>
      </w:tblCellMar>
    </w:tblPr>
  </w:style>
  <w:style w:type="table" w:customStyle="1" w:styleId="217">
    <w:name w:val="217"/>
    <w:basedOn w:val="TableNormal0"/>
    <w:tblPr>
      <w:tblStyleRowBandSize w:val="1"/>
      <w:tblStyleColBandSize w:val="1"/>
      <w:tblBorders>
        <w:insideH w:val="single" w:sz="4" w:space="0" w:color="FFFFFF"/>
      </w:tblBorders>
      <w:tblCellMar>
        <w:top w:w="0" w:type="dxa"/>
        <w:left w:w="0" w:type="dxa"/>
        <w:bottom w:w="0" w:type="dxa"/>
        <w:right w:w="0" w:type="dxa"/>
      </w:tblCellMar>
    </w:tblPr>
  </w:style>
  <w:style w:type="numbering" w:customStyle="1" w:styleId="GenStyleDefNum">
    <w:name w:val="GenStyleDefNum"/>
  </w:style>
  <w:style w:type="paragraph" w:customStyle="1" w:styleId="GenStyleDefPar">
    <w:name w:val="GenStyleDefPar"/>
  </w:style>
  <w:style w:type="table" w:customStyle="1" w:styleId="GenStyleDefTable">
    <w:name w:val="GenStyleDefTable"/>
    <w:tblPr>
      <w:tblStyleRowBandSize w:val="1"/>
      <w:tblStyleColBandSize w:val="1"/>
      <w:tblCellMar>
        <w:top w:w="0" w:type="dxa"/>
        <w:left w:w="0" w:type="dxa"/>
        <w:bottom w:w="0" w:type="dxa"/>
        <w:right w:w="0" w:type="dxa"/>
      </w:tblCellMar>
    </w:tblPr>
  </w:style>
  <w:style w:type="table" w:customStyle="1" w:styleId="GenStyleDefTableGrid">
    <w:name w:val="GenStyleDefTableGrid"/>
    <w:basedOn w:val="GenStyleDefTable"/>
    <w:uiPriority w:val="5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GenStyleDefNum0">
    <w:name w:val="GenStyleDefNum"/>
  </w:style>
  <w:style w:type="paragraph" w:customStyle="1" w:styleId="GenStyleDefPar0">
    <w:name w:val="GenStyleDefPar"/>
  </w:style>
  <w:style w:type="table" w:customStyle="1" w:styleId="GenStyleDefTable0">
    <w:name w:val="GenStyleDefTable"/>
    <w:tblPr>
      <w:tblStyleRowBandSize w:val="1"/>
      <w:tblStyleColBandSize w:val="1"/>
      <w:tblCellMar>
        <w:top w:w="0" w:type="dxa"/>
        <w:left w:w="0" w:type="dxa"/>
        <w:bottom w:w="0" w:type="dxa"/>
        <w:right w:w="0" w:type="dxa"/>
      </w:tblCellMar>
    </w:tblPr>
  </w:style>
  <w:style w:type="table" w:customStyle="1" w:styleId="GenStyleDefTableGrid0">
    <w:name w:val="GenStyleDefTableGrid"/>
    <w:basedOn w:val="GenStyleDefTable0"/>
    <w:uiPriority w:val="5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Character">
    <w:name w:val="NormalCharacter"/>
    <w:semiHidden/>
  </w:style>
  <w:style w:type="table" w:customStyle="1" w:styleId="TableNormal0">
    <w:name w:val="TableNormal"/>
    <w:semiHidden/>
    <w:tblPr>
      <w:tblStyleRowBandSize w:val="1"/>
      <w:tblStyleColBandSize w:val="1"/>
      <w:tblCellMar>
        <w:top w:w="0" w:type="dxa"/>
        <w:left w:w="108" w:type="dxa"/>
        <w:bottom w:w="0" w:type="dxa"/>
        <w:right w:w="108" w:type="dxa"/>
      </w:tblCellMar>
    </w:tblPr>
  </w:style>
  <w:style w:type="numbering" w:customStyle="1" w:styleId="NormalList">
    <w:name w:val="NormalList"/>
    <w:semiHidden/>
  </w:style>
  <w:style w:type="paragraph" w:styleId="Header">
    <w:name w:val="header"/>
    <w:basedOn w:val="Normal"/>
    <w:pPr>
      <w:tabs>
        <w:tab w:val="center" w:pos="4680"/>
        <w:tab w:val="right" w:pos="9360"/>
      </w:tabs>
    </w:pPr>
  </w:style>
  <w:style w:type="character" w:customStyle="1" w:styleId="StGen5">
    <w:name w:val="StGen5"/>
    <w:rPr>
      <w:sz w:val="22"/>
      <w:szCs w:val="22"/>
      <w:lang w:eastAsia="en-US"/>
    </w:rPr>
  </w:style>
  <w:style w:type="paragraph" w:styleId="Footer">
    <w:name w:val="footer"/>
    <w:basedOn w:val="Normal"/>
    <w:pPr>
      <w:tabs>
        <w:tab w:val="center" w:pos="4680"/>
        <w:tab w:val="right" w:pos="9360"/>
      </w:tabs>
    </w:pPr>
  </w:style>
  <w:style w:type="character" w:customStyle="1" w:styleId="StGen6">
    <w:name w:val="StGen6"/>
    <w:rPr>
      <w:sz w:val="22"/>
      <w:szCs w:val="22"/>
      <w:lang w:eastAsia="en-US"/>
    </w:rPr>
  </w:style>
  <w:style w:type="character" w:customStyle="1" w:styleId="StGen1">
    <w:name w:val="StGen1"/>
    <w:rPr>
      <w:rFonts w:ascii="Arial" w:eastAsia="Times New Roman" w:hAnsi="Arial" w:hint="cs"/>
      <w:b/>
      <w:bCs/>
      <w:sz w:val="28"/>
      <w:szCs w:val="32"/>
      <w:lang w:eastAsia="en-US"/>
    </w:rPr>
  </w:style>
  <w:style w:type="paragraph" w:customStyle="1" w:styleId="StGen7">
    <w:name w:val="StGen7"/>
    <w:basedOn w:val="Normal"/>
    <w:pPr>
      <w:spacing w:before="60" w:after="60" w:line="240" w:lineRule="auto"/>
    </w:pPr>
    <w:rPr>
      <w:rFonts w:eastAsia="Times New Roman"/>
      <w:lang w:val="en-US"/>
    </w:rPr>
  </w:style>
  <w:style w:type="character" w:customStyle="1" w:styleId="StGen2">
    <w:name w:val="StGen2"/>
    <w:rPr>
      <w:rFonts w:ascii="Arial" w:eastAsia="Times New Roman" w:hAnsi="Arial" w:hint="cs"/>
      <w:b/>
      <w:bCs/>
      <w:i/>
      <w:iCs/>
      <w:sz w:val="24"/>
      <w:szCs w:val="28"/>
      <w:lang w:eastAsia="en-US"/>
    </w:rPr>
  </w:style>
  <w:style w:type="paragraph" w:customStyle="1" w:styleId="StGen8">
    <w:name w:val="StGen8"/>
    <w:pPr>
      <w:tabs>
        <w:tab w:val="right" w:pos="6840"/>
      </w:tabs>
    </w:pPr>
    <w:rPr>
      <w:rFonts w:ascii="Arial" w:eastAsia="Times New Roman" w:hAnsi="Arial" w:hint="cs"/>
      <w:color w:val="FFFFFF"/>
      <w:sz w:val="18"/>
      <w:szCs w:val="18"/>
      <w:lang w:bidi="ar-SA"/>
    </w:rPr>
  </w:style>
  <w:style w:type="paragraph" w:customStyle="1" w:styleId="Acetate">
    <w:name w:val="Acetate"/>
    <w:basedOn w:val="Normal"/>
    <w:semiHidden/>
    <w:pPr>
      <w:spacing w:after="0" w:line="240" w:lineRule="auto"/>
    </w:pPr>
    <w:rPr>
      <w:rFonts w:ascii="Tahoma" w:hAnsi="Tahoma"/>
      <w:sz w:val="16"/>
      <w:szCs w:val="16"/>
    </w:rPr>
  </w:style>
  <w:style w:type="character" w:customStyle="1" w:styleId="StGen9">
    <w:name w:val="StGen9"/>
    <w:semiHidden/>
    <w:rPr>
      <w:rFonts w:ascii="Tahoma" w:hAnsi="Tahoma" w:hint="cs"/>
      <w:sz w:val="16"/>
      <w:szCs w:val="16"/>
      <w:lang w:eastAsia="en-US"/>
    </w:rPr>
  </w:style>
  <w:style w:type="paragraph" w:customStyle="1" w:styleId="StGen10">
    <w:name w:val="StGen10"/>
    <w:basedOn w:val="StGen7"/>
    <w:rPr>
      <w:b/>
      <w:bCs/>
      <w:color w:val="FFFFFF"/>
      <w:szCs w:val="20"/>
    </w:rPr>
  </w:style>
  <w:style w:type="character" w:customStyle="1" w:styleId="StGen3">
    <w:name w:val="StGen3"/>
    <w:rPr>
      <w:rFonts w:ascii="Arial" w:eastAsia="Times New Roman" w:hAnsi="Arial" w:hint="cs"/>
      <w:b/>
      <w:bCs/>
      <w:szCs w:val="26"/>
      <w:lang w:eastAsia="en-US"/>
    </w:rPr>
  </w:style>
  <w:style w:type="character" w:customStyle="1" w:styleId="StGen4">
    <w:name w:val="StGen4"/>
    <w:rPr>
      <w:rFonts w:ascii="Arial" w:eastAsia="Times New Roman" w:hAnsi="Arial" w:hint="cs"/>
      <w:b/>
      <w:bCs/>
      <w:i/>
      <w:szCs w:val="28"/>
      <w:lang w:eastAsia="en-US"/>
    </w:rPr>
  </w:style>
  <w:style w:type="paragraph" w:customStyle="1" w:styleId="StGen11">
    <w:name w:val="StGen11"/>
    <w:basedOn w:val="Normal"/>
    <w:pPr>
      <w:jc w:val="right"/>
    </w:pPr>
    <w:rPr>
      <w:color w:val="FFFFFF"/>
      <w:sz w:val="22"/>
    </w:rPr>
  </w:style>
  <w:style w:type="character" w:styleId="Hyperlink">
    <w:name w:val="Hyperlink"/>
    <w:rPr>
      <w:color w:val="0000FF"/>
      <w:u w:val="single"/>
    </w:rPr>
  </w:style>
  <w:style w:type="character" w:styleId="FollowedHyperlink">
    <w:name w:val="FollowedHyperlink"/>
    <w:semiHidden/>
    <w:rPr>
      <w:color w:val="800080"/>
      <w:u w:val="single"/>
    </w:rPr>
  </w:style>
  <w:style w:type="character" w:customStyle="1" w:styleId="AnnotationReference">
    <w:name w:val="AnnotationReference"/>
    <w:semiHidden/>
    <w:rPr>
      <w:sz w:val="16"/>
      <w:szCs w:val="16"/>
    </w:rPr>
  </w:style>
  <w:style w:type="paragraph" w:customStyle="1" w:styleId="AnnotationText">
    <w:name w:val="AnnotationText"/>
    <w:basedOn w:val="Normal"/>
    <w:semiHidden/>
    <w:rPr>
      <w:szCs w:val="20"/>
    </w:rPr>
  </w:style>
  <w:style w:type="character" w:customStyle="1" w:styleId="StGen12">
    <w:name w:val="StGen12"/>
    <w:semiHidden/>
    <w:rPr>
      <w:rFonts w:ascii="Arial" w:hAnsi="Arial" w:hint="cs"/>
      <w:lang w:val="en-CA" w:eastAsia="en-US"/>
    </w:rPr>
  </w:style>
  <w:style w:type="paragraph" w:customStyle="1" w:styleId="AnnotationSubject">
    <w:name w:val="AnnotationSubject"/>
    <w:basedOn w:val="AnnotationText"/>
    <w:next w:val="AnnotationText"/>
    <w:semiHidden/>
    <w:rPr>
      <w:b/>
      <w:bCs/>
    </w:rPr>
  </w:style>
  <w:style w:type="character" w:customStyle="1" w:styleId="StGen13">
    <w:name w:val="StGen13"/>
    <w:semiHidden/>
    <w:rPr>
      <w:rFonts w:ascii="Arial" w:hAnsi="Arial" w:hint="cs"/>
      <w:b/>
      <w:bCs/>
      <w:lang w:val="en-CA" w:eastAsia="en-US"/>
    </w:rPr>
  </w:style>
  <w:style w:type="character" w:customStyle="1" w:styleId="StGen0">
    <w:name w:val="StGen0"/>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Arial" w:hAnsi="Arial"/>
      <w:sz w:val="24"/>
      <w:szCs w:val="24"/>
      <w:lang w:val="en-CA"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10E1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0E13"/>
    <w:rPr>
      <w:rFonts w:ascii="Lucida Grande" w:hAnsi="Lucida Grande" w:cs="Lucida Grande"/>
      <w:sz w:val="18"/>
      <w:szCs w:val="18"/>
      <w:lang w:val="en-CA" w:bidi="ar-SA"/>
    </w:rPr>
  </w:style>
  <w:style w:type="paragraph" w:styleId="CommentSubject">
    <w:name w:val="annotation subject"/>
    <w:basedOn w:val="CommentText"/>
    <w:next w:val="CommentText"/>
    <w:link w:val="CommentSubjectChar"/>
    <w:uiPriority w:val="99"/>
    <w:semiHidden/>
    <w:unhideWhenUsed/>
    <w:rsid w:val="004C0812"/>
    <w:rPr>
      <w:b/>
      <w:bCs/>
      <w:sz w:val="20"/>
      <w:szCs w:val="20"/>
    </w:rPr>
  </w:style>
  <w:style w:type="character" w:customStyle="1" w:styleId="CommentSubjectChar">
    <w:name w:val="Comment Subject Char"/>
    <w:basedOn w:val="CommentTextChar"/>
    <w:link w:val="CommentSubject"/>
    <w:uiPriority w:val="99"/>
    <w:semiHidden/>
    <w:rsid w:val="004C0812"/>
    <w:rPr>
      <w:rFonts w:ascii="Arial" w:hAnsi="Arial"/>
      <w:b/>
      <w:bCs/>
      <w:sz w:val="24"/>
      <w:szCs w:val="20"/>
      <w:lang w:val="en-CA"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color w:val="000000"/>
        <w:szCs w:val="22"/>
        <w:lang w:val="en-US" w:eastAsia="en-US" w:bidi="en-US"/>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Arial" w:hAnsi="Arial" w:hint="cs"/>
      <w:lang w:val="en-CA" w:bidi="ar-SA"/>
    </w:rPr>
  </w:style>
  <w:style w:type="paragraph" w:styleId="Heading1">
    <w:name w:val="heading 1"/>
    <w:basedOn w:val="Normal"/>
    <w:next w:val="Normal"/>
    <w:pPr>
      <w:keepNext/>
      <w:spacing w:before="240" w:after="60"/>
      <w:outlineLvl w:val="0"/>
    </w:pPr>
    <w:rPr>
      <w:rFonts w:eastAsia="Times New Roman"/>
      <w:b/>
      <w:bCs/>
      <w:sz w:val="28"/>
      <w:szCs w:val="32"/>
    </w:rPr>
  </w:style>
  <w:style w:type="paragraph" w:styleId="Heading2">
    <w:name w:val="heading 2"/>
    <w:basedOn w:val="Normal"/>
    <w:next w:val="Normal"/>
    <w:pPr>
      <w:keepNext/>
      <w:spacing w:before="240" w:after="60"/>
      <w:outlineLvl w:val="1"/>
    </w:pPr>
    <w:rPr>
      <w:rFonts w:eastAsia="Times New Roman"/>
      <w:b/>
      <w:bCs/>
      <w:i/>
      <w:iCs/>
      <w:sz w:val="24"/>
      <w:szCs w:val="28"/>
    </w:rPr>
  </w:style>
  <w:style w:type="paragraph" w:styleId="Heading3">
    <w:name w:val="heading 3"/>
    <w:basedOn w:val="Normal"/>
    <w:next w:val="Normal"/>
    <w:pPr>
      <w:keepNext/>
      <w:spacing w:before="240" w:after="60"/>
      <w:outlineLvl w:val="2"/>
    </w:pPr>
    <w:rPr>
      <w:rFonts w:eastAsia="Times New Roman"/>
      <w:b/>
      <w:bCs/>
      <w:szCs w:val="26"/>
    </w:rPr>
  </w:style>
  <w:style w:type="paragraph" w:styleId="Heading4">
    <w:name w:val="heading 4"/>
    <w:basedOn w:val="Normal"/>
    <w:next w:val="Normal"/>
    <w:pPr>
      <w:keepNext/>
      <w:spacing w:before="240" w:after="60"/>
      <w:outlineLvl w:val="3"/>
    </w:pPr>
    <w:rPr>
      <w:rFonts w:eastAsia="Times New Roman"/>
      <w:b/>
      <w:bCs/>
      <w:i/>
      <w:szCs w:val="28"/>
    </w:rPr>
  </w:style>
  <w:style w:type="paragraph" w:styleId="Heading5">
    <w:name w:val="heading 5"/>
    <w:basedOn w:val="Normal"/>
    <w:next w:val="Normal"/>
    <w:uiPriority w:val="9"/>
    <w:unhideWhenUsed/>
    <w:qFormat/>
    <w:pPr>
      <w:keepNext/>
      <w:keepLines/>
      <w:spacing w:before="200" w:after="0"/>
      <w:outlineLvl w:val="4"/>
    </w:pPr>
    <w:rPr>
      <w:b/>
      <w:color w:val="444444"/>
      <w:sz w:val="28"/>
    </w:rPr>
  </w:style>
  <w:style w:type="paragraph" w:styleId="Heading6">
    <w:name w:val="heading 6"/>
    <w:basedOn w:val="Normal"/>
    <w:next w:val="Normal"/>
    <w:uiPriority w:val="9"/>
    <w:unhideWhenUsed/>
    <w:qFormat/>
    <w:pPr>
      <w:keepNext/>
      <w:keepLines/>
      <w:spacing w:before="200" w:after="0"/>
      <w:outlineLvl w:val="5"/>
    </w:pPr>
    <w:rPr>
      <w:i/>
      <w:color w:val="232323"/>
      <w:sz w:val="28"/>
    </w:rPr>
  </w:style>
  <w:style w:type="paragraph" w:styleId="Heading7">
    <w:name w:val="heading 7"/>
    <w:basedOn w:val="Normal"/>
    <w:next w:val="Normal"/>
    <w:uiPriority w:val="9"/>
    <w:unhideWhenUsed/>
    <w:qFormat/>
    <w:pPr>
      <w:keepNext/>
      <w:keepLines/>
      <w:spacing w:before="200" w:after="0"/>
      <w:outlineLvl w:val="6"/>
    </w:pPr>
    <w:rPr>
      <w:b/>
      <w:color w:val="606060"/>
      <w:sz w:val="24"/>
    </w:rPr>
  </w:style>
  <w:style w:type="paragraph" w:styleId="Heading8">
    <w:name w:val="heading 8"/>
    <w:basedOn w:val="Normal"/>
    <w:next w:val="Normal"/>
    <w:uiPriority w:val="9"/>
    <w:unhideWhenUsed/>
    <w:qFormat/>
    <w:pPr>
      <w:keepNext/>
      <w:keepLines/>
      <w:spacing w:before="200" w:after="0"/>
      <w:outlineLvl w:val="7"/>
    </w:pPr>
    <w:rPr>
      <w:color w:val="444444"/>
      <w:sz w:val="24"/>
    </w:rPr>
  </w:style>
  <w:style w:type="paragraph" w:styleId="Heading9">
    <w:name w:val="heading 9"/>
    <w:basedOn w:val="Normal"/>
    <w:next w:val="Normal"/>
    <w:uiPriority w:val="9"/>
    <w:unhideWhenUsed/>
    <w:qFormat/>
    <w:pPr>
      <w:keepNext/>
      <w:keepLines/>
      <w:spacing w:before="200" w:after="0"/>
      <w:outlineLvl w:val="8"/>
    </w:pPr>
    <w:rPr>
      <w:i/>
      <w:color w:val="444444"/>
      <w:sz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Spacing">
    <w:name w:val="No Spacing"/>
    <w:uiPriority w:val="1"/>
    <w:qFormat/>
  </w:style>
  <w:style w:type="paragraph" w:styleId="Title">
    <w:name w:val="Title"/>
    <w:basedOn w:val="Normal"/>
    <w:next w:val="Normal"/>
    <w:uiPriority w:val="10"/>
    <w:qFormat/>
    <w:pPr>
      <w:pBdr>
        <w:bottom w:val="single" w:sz="24" w:space="0" w:color="000000"/>
      </w:pBdr>
      <w:spacing w:before="300" w:after="80" w:line="240" w:lineRule="auto"/>
    </w:pPr>
    <w:rPr>
      <w:b/>
      <w:sz w:val="72"/>
    </w:rPr>
  </w:style>
  <w:style w:type="paragraph" w:styleId="Subtitle">
    <w:name w:val="Subtitle"/>
    <w:basedOn w:val="Normal"/>
    <w:next w:val="Normal"/>
    <w:uiPriority w:val="11"/>
    <w:qFormat/>
    <w:pPr>
      <w:spacing w:line="240" w:lineRule="auto"/>
    </w:pPr>
    <w:rPr>
      <w:i/>
      <w:color w:val="444444"/>
      <w:sz w:val="52"/>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A6A6A6"/>
      </w:tcPr>
    </w:tblStylePr>
    <w:tblStylePr w:type="lastRow">
      <w:tblPr/>
      <w:tcPr>
        <w:shd w:val="clear" w:color="auto" w:fill="A6A6A6"/>
      </w:tcPr>
    </w:tblStylePr>
    <w:tblStylePr w:type="firstCol">
      <w:tblPr/>
      <w:tcPr>
        <w:shd w:val="clear" w:color="auto" w:fill="A6A6A6"/>
      </w:tcPr>
    </w:tblStylePr>
    <w:tblStylePr w:type="lastCol">
      <w:tblPr/>
      <w:tcPr>
        <w:shd w:val="clear" w:color="auto" w:fill="A6A6A6"/>
      </w:tcPr>
    </w:tblStylePr>
    <w:tblStylePr w:type="band2Vert">
      <w:tblPr/>
      <w:tcPr>
        <w:shd w:val="clear" w:color="auto" w:fill="D9D9D9"/>
      </w:tcPr>
    </w:tblStylePr>
    <w:tblStylePr w:type="band2Horz">
      <w:tblPr/>
      <w:tcPr>
        <w:shd w:val="clear" w:color="auto" w:fill="D9D9D9"/>
      </w:tcPr>
    </w:tblStylePr>
  </w:style>
  <w:style w:type="table" w:customStyle="1" w:styleId="Lined-Accent1">
    <w:name w:val="Lined - Accent 1"/>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95B3D7"/>
      </w:tcPr>
    </w:tblStylePr>
    <w:tblStylePr w:type="lastRow">
      <w:tblPr/>
      <w:tcPr>
        <w:shd w:val="clear" w:color="auto" w:fill="95B3D7"/>
      </w:tcPr>
    </w:tblStylePr>
    <w:tblStylePr w:type="firstCol">
      <w:tblPr/>
      <w:tcPr>
        <w:shd w:val="clear" w:color="auto" w:fill="95B3D7"/>
      </w:tcPr>
    </w:tblStylePr>
    <w:tblStylePr w:type="lastCol">
      <w:tblPr/>
      <w:tcPr>
        <w:shd w:val="clear" w:color="auto" w:fill="95B3D7"/>
      </w:tcPr>
    </w:tblStylePr>
    <w:tblStylePr w:type="band2Vert">
      <w:tblPr/>
      <w:tcPr>
        <w:shd w:val="clear" w:color="auto" w:fill="DBE5F1"/>
      </w:tcPr>
    </w:tblStylePr>
    <w:tblStylePr w:type="band2Horz">
      <w:tblPr/>
      <w:tcPr>
        <w:shd w:val="clear" w:color="auto" w:fill="DBE5F1"/>
      </w:tcPr>
    </w:tblStylePr>
  </w:style>
  <w:style w:type="table" w:customStyle="1" w:styleId="Lined-Accent2">
    <w:name w:val="Lined - Accent 2"/>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D99594"/>
      </w:tcPr>
    </w:tblStylePr>
    <w:tblStylePr w:type="lastRow">
      <w:tblPr/>
      <w:tcPr>
        <w:shd w:val="clear" w:color="auto" w:fill="D99594"/>
      </w:tcPr>
    </w:tblStylePr>
    <w:tblStylePr w:type="firstCol">
      <w:tblPr/>
      <w:tcPr>
        <w:shd w:val="clear" w:color="auto" w:fill="D99594"/>
      </w:tcPr>
    </w:tblStylePr>
    <w:tblStylePr w:type="lastCol">
      <w:tblPr/>
      <w:tcPr>
        <w:shd w:val="clear" w:color="auto" w:fill="D99594"/>
      </w:tcPr>
    </w:tblStylePr>
    <w:tblStylePr w:type="band2Vert">
      <w:tblPr/>
      <w:tcPr>
        <w:shd w:val="clear" w:color="auto" w:fill="F2DBDB"/>
      </w:tcPr>
    </w:tblStylePr>
    <w:tblStylePr w:type="band2Horz">
      <w:tblPr/>
      <w:tcPr>
        <w:shd w:val="clear" w:color="auto" w:fill="F2DBDB"/>
      </w:tcPr>
    </w:tblStylePr>
  </w:style>
  <w:style w:type="table" w:customStyle="1" w:styleId="Lined-Accent3">
    <w:name w:val="Lined - Accent 3"/>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C2D69B"/>
      </w:tcPr>
    </w:tblStylePr>
    <w:tblStylePr w:type="lastRow">
      <w:tblPr/>
      <w:tcPr>
        <w:shd w:val="clear" w:color="auto" w:fill="C2D69B"/>
      </w:tcPr>
    </w:tblStylePr>
    <w:tblStylePr w:type="firstCol">
      <w:tblPr/>
      <w:tcPr>
        <w:shd w:val="clear" w:color="auto" w:fill="C2D69B"/>
      </w:tcPr>
    </w:tblStylePr>
    <w:tblStylePr w:type="lastCol">
      <w:tblPr/>
      <w:tcPr>
        <w:shd w:val="clear" w:color="auto" w:fill="C2D69B"/>
      </w:tcPr>
    </w:tblStylePr>
    <w:tblStylePr w:type="band2Vert">
      <w:tblPr/>
      <w:tcPr>
        <w:shd w:val="clear" w:color="auto" w:fill="EAF1DD"/>
      </w:tcPr>
    </w:tblStylePr>
    <w:tblStylePr w:type="band2Horz">
      <w:tblPr/>
      <w:tcPr>
        <w:shd w:val="clear" w:color="auto" w:fill="EAF1DD"/>
      </w:tcPr>
    </w:tblStylePr>
  </w:style>
  <w:style w:type="table" w:customStyle="1" w:styleId="Lined-Accent4">
    <w:name w:val="Lined - Accent 4"/>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B2A1C7"/>
      </w:tcPr>
    </w:tblStylePr>
    <w:tblStylePr w:type="lastRow">
      <w:tblPr/>
      <w:tcPr>
        <w:shd w:val="clear" w:color="auto" w:fill="B2A1C7"/>
      </w:tcPr>
    </w:tblStylePr>
    <w:tblStylePr w:type="firstCol">
      <w:tblPr/>
      <w:tcPr>
        <w:shd w:val="clear" w:color="auto" w:fill="B2A1C7"/>
      </w:tcPr>
    </w:tblStylePr>
    <w:tblStylePr w:type="lastCol">
      <w:tblPr/>
      <w:tcPr>
        <w:shd w:val="clear" w:color="auto" w:fill="B2A1C7"/>
      </w:tcPr>
    </w:tblStylePr>
    <w:tblStylePr w:type="band2Vert">
      <w:tblPr/>
      <w:tcPr>
        <w:shd w:val="clear" w:color="auto" w:fill="E5DFEC"/>
      </w:tcPr>
    </w:tblStylePr>
    <w:tblStylePr w:type="band2Horz">
      <w:tblPr/>
      <w:tcPr>
        <w:shd w:val="clear" w:color="auto" w:fill="E5DFEC"/>
      </w:tcPr>
    </w:tblStylePr>
  </w:style>
  <w:style w:type="table" w:customStyle="1" w:styleId="Lined-Accent5">
    <w:name w:val="Lined - Accent 5"/>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92CDDC"/>
      </w:tcPr>
    </w:tblStylePr>
    <w:tblStylePr w:type="lastRow">
      <w:tblPr/>
      <w:tcPr>
        <w:shd w:val="clear" w:color="auto" w:fill="92CDDC"/>
      </w:tcPr>
    </w:tblStylePr>
    <w:tblStylePr w:type="firstCol">
      <w:tblPr/>
      <w:tcPr>
        <w:shd w:val="clear" w:color="auto" w:fill="92CDDC"/>
      </w:tcPr>
    </w:tblStylePr>
    <w:tblStylePr w:type="lastCol">
      <w:tblPr/>
      <w:tcPr>
        <w:shd w:val="clear" w:color="auto" w:fill="92CDDC"/>
      </w:tcPr>
    </w:tblStylePr>
    <w:tblStylePr w:type="band2Vert">
      <w:tblPr/>
      <w:tcPr>
        <w:shd w:val="clear" w:color="auto" w:fill="DAEEF3"/>
      </w:tcPr>
    </w:tblStylePr>
    <w:tblStylePr w:type="band2Horz">
      <w:tblPr/>
      <w:tcPr>
        <w:shd w:val="clear" w:color="auto" w:fill="DAEEF3"/>
      </w:tcPr>
    </w:tblStylePr>
  </w:style>
  <w:style w:type="table" w:customStyle="1" w:styleId="Lined-Accent6">
    <w:name w:val="Lined - Accent 6"/>
    <w:basedOn w:val="TableNormal"/>
    <w:uiPriority w:val="99"/>
    <w:tblPr>
      <w:tblStyleRowBandSize w:val="1"/>
      <w:tblStyleColBandSize w:val="1"/>
      <w:tblInd w:w="0" w:type="dxa"/>
      <w:tblCellMar>
        <w:top w:w="0" w:type="dxa"/>
        <w:left w:w="0" w:type="dxa"/>
        <w:bottom w:w="0" w:type="dxa"/>
        <w:right w:w="0" w:type="dxa"/>
      </w:tblCellMar>
    </w:tblPr>
    <w:tblStylePr w:type="firstRow">
      <w:tblPr/>
      <w:tcPr>
        <w:shd w:val="clear" w:color="auto" w:fill="FABF8F"/>
      </w:tcPr>
    </w:tblStylePr>
    <w:tblStylePr w:type="lastRow">
      <w:tblPr/>
      <w:tcPr>
        <w:shd w:val="clear" w:color="auto" w:fill="FABF8F"/>
      </w:tcPr>
    </w:tblStylePr>
    <w:tblStylePr w:type="firstCol">
      <w:tblPr/>
      <w:tcPr>
        <w:shd w:val="clear" w:color="auto" w:fill="FABF8F"/>
      </w:tcPr>
    </w:tblStylePr>
    <w:tblStylePr w:type="lastCol">
      <w:tblPr/>
      <w:tcPr>
        <w:shd w:val="clear" w:color="auto" w:fill="FABF8F"/>
      </w:tcPr>
    </w:tblStylePr>
    <w:tblStylePr w:type="band2Vert">
      <w:tblPr/>
      <w:tcPr>
        <w:shd w:val="clear" w:color="auto" w:fill="FDE9E9"/>
      </w:tcPr>
    </w:tblStylePr>
    <w:tblStylePr w:type="band2Horz">
      <w:tblPr/>
      <w:tcPr>
        <w:shd w:val="clear" w:color="auto" w:fill="FDE9E9"/>
      </w:tcPr>
    </w:tblStylePr>
  </w:style>
  <w:style w:type="table" w:customStyle="1" w:styleId="Bordered">
    <w:name w:val="Bordered"/>
    <w:basedOn w:val="TableNormal"/>
    <w:uiPriority w:val="99"/>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0" w:type="dxa"/>
        <w:bottom w:w="0" w:type="dxa"/>
        <w:right w:w="0" w:type="dxa"/>
      </w:tblCellMar>
    </w:tblPr>
    <w:tblStylePr w:type="firstRow">
      <w:tblPr/>
      <w:tcPr>
        <w:tcBorders>
          <w:bottom w:val="single" w:sz="18" w:space="0" w:color="000000"/>
        </w:tcBorders>
      </w:tcPr>
    </w:tblStylePr>
    <w:tblStylePr w:type="lastRow">
      <w:tblPr/>
      <w:tcPr>
        <w:tcBorders>
          <w:top w:val="single" w:sz="18" w:space="0" w:color="000000"/>
        </w:tcBorders>
      </w:tcPr>
    </w:tblStylePr>
    <w:tblStylePr w:type="firstCol">
      <w:tblPr/>
      <w:tcPr>
        <w:tcBorders>
          <w:right w:val="single" w:sz="18" w:space="0" w:color="000000"/>
        </w:tcBorders>
      </w:tcPr>
    </w:tblStylePr>
    <w:tblStylePr w:type="lastCol">
      <w:tblPr/>
      <w:tcPr>
        <w:tcBorders>
          <w:left w:val="single" w:sz="18" w:space="0" w:color="000000"/>
        </w:tcBorders>
      </w:tcPr>
    </w:tblStylePr>
  </w:style>
  <w:style w:type="table" w:customStyle="1" w:styleId="Bordered-Accent1">
    <w:name w:val="Bordered - Accent 1"/>
    <w:basedOn w:val="TableNormal"/>
    <w:uiPriority w:val="99"/>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0" w:type="dxa"/>
        <w:bottom w:w="0" w:type="dxa"/>
        <w:right w:w="0" w:type="dxa"/>
      </w:tblCellMar>
    </w:tblPr>
    <w:tblStylePr w:type="firstRow">
      <w:tblPr/>
      <w:tcPr>
        <w:tcBorders>
          <w:bottom w:val="single" w:sz="18" w:space="0" w:color="365F91"/>
        </w:tcBorders>
      </w:tcPr>
    </w:tblStylePr>
    <w:tblStylePr w:type="lastRow">
      <w:tblPr/>
      <w:tcPr>
        <w:tcBorders>
          <w:top w:val="single" w:sz="18" w:space="0" w:color="365F91"/>
        </w:tcBorders>
      </w:tcPr>
    </w:tblStylePr>
    <w:tblStylePr w:type="firstCol">
      <w:tblPr/>
      <w:tcPr>
        <w:tcBorders>
          <w:right w:val="single" w:sz="18" w:space="0" w:color="365F91"/>
        </w:tcBorders>
      </w:tcPr>
    </w:tblStylePr>
    <w:tblStylePr w:type="lastCol">
      <w:tblPr/>
      <w:tcPr>
        <w:tcBorders>
          <w:left w:val="single" w:sz="18" w:space="0" w:color="365F91"/>
        </w:tcBorders>
      </w:tcPr>
    </w:tblStylePr>
  </w:style>
  <w:style w:type="table" w:customStyle="1" w:styleId="Bordered-Accent2">
    <w:name w:val="Bordered - Accent 2"/>
    <w:basedOn w:val="TableNormal"/>
    <w:uiPriority w:val="99"/>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0" w:type="dxa"/>
        <w:left w:w="0" w:type="dxa"/>
        <w:bottom w:w="0" w:type="dxa"/>
        <w:right w:w="0" w:type="dxa"/>
      </w:tblCellMar>
    </w:tblPr>
    <w:tblStylePr w:type="firstRow">
      <w:tblPr/>
      <w:tcPr>
        <w:tcBorders>
          <w:bottom w:val="single" w:sz="18" w:space="0" w:color="943634"/>
        </w:tcBorders>
      </w:tcPr>
    </w:tblStylePr>
    <w:tblStylePr w:type="lastRow">
      <w:tblPr/>
      <w:tcPr>
        <w:tcBorders>
          <w:top w:val="single" w:sz="18" w:space="0" w:color="943634"/>
        </w:tcBorders>
      </w:tcPr>
    </w:tblStylePr>
    <w:tblStylePr w:type="firstCol">
      <w:tblPr/>
      <w:tcPr>
        <w:tcBorders>
          <w:right w:val="single" w:sz="18" w:space="0" w:color="943634"/>
        </w:tcBorders>
      </w:tcPr>
    </w:tblStylePr>
    <w:tblStylePr w:type="lastCol">
      <w:tblPr/>
      <w:tcPr>
        <w:tcBorders>
          <w:left w:val="single" w:sz="18" w:space="0" w:color="943634"/>
        </w:tcBorders>
      </w:tcPr>
    </w:tblStylePr>
  </w:style>
  <w:style w:type="table" w:customStyle="1" w:styleId="Bordered-Accent3">
    <w:name w:val="Bordered - Accent 3"/>
    <w:basedOn w:val="TableNormal"/>
    <w:uiPriority w:val="99"/>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0" w:type="dxa"/>
        <w:left w:w="0" w:type="dxa"/>
        <w:bottom w:w="0" w:type="dxa"/>
        <w:right w:w="0" w:type="dxa"/>
      </w:tblCellMar>
    </w:tblPr>
    <w:tblStylePr w:type="firstRow">
      <w:tblPr/>
      <w:tcPr>
        <w:tcBorders>
          <w:bottom w:val="single" w:sz="18" w:space="0" w:color="76923C"/>
        </w:tcBorders>
      </w:tcPr>
    </w:tblStylePr>
    <w:tblStylePr w:type="lastRow">
      <w:tblPr/>
      <w:tcPr>
        <w:tcBorders>
          <w:top w:val="single" w:sz="18" w:space="0" w:color="76923C"/>
        </w:tcBorders>
      </w:tcPr>
    </w:tblStylePr>
    <w:tblStylePr w:type="firstCol">
      <w:tblPr/>
      <w:tcPr>
        <w:tcBorders>
          <w:right w:val="single" w:sz="18" w:space="0" w:color="76923C"/>
        </w:tcBorders>
      </w:tcPr>
    </w:tblStylePr>
    <w:tblStylePr w:type="lastCol">
      <w:tblPr/>
      <w:tcPr>
        <w:tcBorders>
          <w:left w:val="single" w:sz="18" w:space="0" w:color="76923C"/>
        </w:tcBorders>
      </w:tcPr>
    </w:tblStylePr>
  </w:style>
  <w:style w:type="table" w:customStyle="1" w:styleId="Bordered-Accent4">
    <w:name w:val="Bordered - Accent 4"/>
    <w:basedOn w:val="TableNormal"/>
    <w:uiPriority w:val="99"/>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0" w:type="dxa"/>
        <w:left w:w="0" w:type="dxa"/>
        <w:bottom w:w="0" w:type="dxa"/>
        <w:right w:w="0" w:type="dxa"/>
      </w:tblCellMar>
    </w:tblPr>
    <w:tblStylePr w:type="firstRow">
      <w:tblPr/>
      <w:tcPr>
        <w:tcBorders>
          <w:bottom w:val="single" w:sz="18" w:space="0" w:color="5F497A"/>
        </w:tcBorders>
      </w:tcPr>
    </w:tblStylePr>
    <w:tblStylePr w:type="lastRow">
      <w:tblPr/>
      <w:tcPr>
        <w:tcBorders>
          <w:top w:val="single" w:sz="18" w:space="0" w:color="5F497A"/>
        </w:tcBorders>
      </w:tcPr>
    </w:tblStylePr>
    <w:tblStylePr w:type="firstCol">
      <w:tblPr/>
      <w:tcPr>
        <w:tcBorders>
          <w:right w:val="single" w:sz="18" w:space="0" w:color="5F497A"/>
        </w:tcBorders>
      </w:tcPr>
    </w:tblStylePr>
    <w:tblStylePr w:type="lastCol">
      <w:tblPr/>
      <w:tcPr>
        <w:tcBorders>
          <w:left w:val="single" w:sz="18" w:space="0" w:color="5F497A"/>
        </w:tcBorders>
      </w:tcPr>
    </w:tblStylePr>
  </w:style>
  <w:style w:type="table" w:customStyle="1" w:styleId="Bordered-Accent5">
    <w:name w:val="Bordered - Accent 5"/>
    <w:basedOn w:val="TableNormal"/>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tblPr/>
      <w:tcPr>
        <w:tcBorders>
          <w:bottom w:val="single" w:sz="18" w:space="0" w:color="31849B"/>
        </w:tcBorders>
      </w:tcPr>
    </w:tblStylePr>
    <w:tblStylePr w:type="lastRow">
      <w:tblPr/>
      <w:tcPr>
        <w:tcBorders>
          <w:top w:val="single" w:sz="18" w:space="0" w:color="31849B"/>
        </w:tcBorders>
      </w:tcPr>
    </w:tblStylePr>
    <w:tblStylePr w:type="firstCol">
      <w:tblPr/>
      <w:tcPr>
        <w:tcBorders>
          <w:right w:val="single" w:sz="18" w:space="0" w:color="31849B"/>
        </w:tcBorders>
      </w:tcPr>
    </w:tblStylePr>
    <w:tblStylePr w:type="lastCol">
      <w:tblPr/>
      <w:tcPr>
        <w:tcBorders>
          <w:left w:val="single" w:sz="18" w:space="0" w:color="31849B"/>
        </w:tcBorders>
      </w:tcPr>
    </w:tblStylePr>
  </w:style>
  <w:style w:type="table" w:customStyle="1" w:styleId="Bordered-Accent6">
    <w:name w:val="Bordered - Accent 6"/>
    <w:basedOn w:val="TableNormal"/>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tblPr/>
      <w:tcPr>
        <w:tcBorders>
          <w:bottom w:val="single" w:sz="18" w:space="0" w:color="E36C0A"/>
        </w:tcBorders>
      </w:tcPr>
    </w:tblStylePr>
    <w:tblStylePr w:type="lastRow">
      <w:tblPr/>
      <w:tcPr>
        <w:tcBorders>
          <w:top w:val="single" w:sz="18" w:space="0" w:color="E36C0A"/>
        </w:tcBorders>
      </w:tcPr>
    </w:tblStylePr>
    <w:tblStylePr w:type="firstCol">
      <w:tblPr/>
      <w:tcPr>
        <w:tcBorders>
          <w:right w:val="single" w:sz="18" w:space="0" w:color="E36C0A"/>
        </w:tcBorders>
      </w:tcPr>
    </w:tblStylePr>
    <w:tblStylePr w:type="lastCol">
      <w:tblPr/>
      <w:tcPr>
        <w:tcBorders>
          <w:left w:val="single" w:sz="18" w:space="0" w:color="E36C0A"/>
        </w:tcBorders>
      </w:tcPr>
    </w:tblStylePr>
  </w:style>
  <w:style w:type="table" w:customStyle="1" w:styleId="BorderedLined">
    <w:name w:val="Bordered &amp; Lined"/>
    <w:basedOn w:val="TableNormal"/>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tblPr/>
      <w:tcPr>
        <w:shd w:val="clear" w:color="auto" w:fill="A6A6A6"/>
      </w:tcPr>
    </w:tblStylePr>
    <w:tblStylePr w:type="lastRow">
      <w:tblPr/>
      <w:tcPr>
        <w:shd w:val="clear" w:color="auto" w:fill="A6A6A6"/>
      </w:tcPr>
    </w:tblStylePr>
    <w:tblStylePr w:type="firstCol">
      <w:tblPr/>
      <w:tcPr>
        <w:shd w:val="clear" w:color="auto" w:fill="A6A6A6"/>
      </w:tcPr>
    </w:tblStylePr>
    <w:tblStylePr w:type="lastCol">
      <w:tblPr/>
      <w:tcPr>
        <w:shd w:val="clear" w:color="auto" w:fill="A6A6A6"/>
      </w:tcPr>
    </w:tblStylePr>
    <w:tblStylePr w:type="band2Vert">
      <w:tblPr/>
      <w:tcPr>
        <w:shd w:val="clear" w:color="auto" w:fill="D9D9D9"/>
      </w:tcPr>
    </w:tblStylePr>
    <w:tblStylePr w:type="band2Horz">
      <w:tblPr/>
      <w:tcPr>
        <w:shd w:val="clear" w:color="auto" w:fill="D9D9D9"/>
      </w:tcPr>
    </w:tblStylePr>
  </w:style>
  <w:style w:type="table" w:customStyle="1" w:styleId="BorderedLined-Accent1">
    <w:name w:val="Bordered &amp; Lined - Accent 1"/>
    <w:basedOn w:val="TableNormal"/>
    <w:uiPriority w:val="99"/>
    <w:tblPr>
      <w:tblStyleRowBandSize w:val="1"/>
      <w:tblStyleColBandSize w:val="1"/>
      <w:tblInd w:w="0" w:type="dxa"/>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CellMar>
        <w:top w:w="0" w:type="dxa"/>
        <w:left w:w="0" w:type="dxa"/>
        <w:bottom w:w="0" w:type="dxa"/>
        <w:right w:w="0" w:type="dxa"/>
      </w:tblCellMar>
    </w:tblPr>
    <w:tblStylePr w:type="firstRow">
      <w:tblPr/>
      <w:tcPr>
        <w:shd w:val="clear" w:color="auto" w:fill="8DB3E2"/>
      </w:tcPr>
    </w:tblStylePr>
    <w:tblStylePr w:type="lastRow">
      <w:tblPr/>
      <w:tcPr>
        <w:shd w:val="clear" w:color="auto" w:fill="8DB3E2"/>
      </w:tcPr>
    </w:tblStylePr>
    <w:tblStylePr w:type="firstCol">
      <w:tblPr/>
      <w:tcPr>
        <w:shd w:val="clear" w:color="auto" w:fill="8DB3E2"/>
      </w:tcPr>
    </w:tblStylePr>
    <w:tblStylePr w:type="lastCol">
      <w:tblPr/>
      <w:tcPr>
        <w:shd w:val="clear" w:color="auto" w:fill="8DB3E2"/>
      </w:tcPr>
    </w:tblStylePr>
    <w:tblStylePr w:type="band2Vert">
      <w:tblPr/>
      <w:tcPr>
        <w:shd w:val="clear" w:color="auto" w:fill="DBE5F1"/>
      </w:tcPr>
    </w:tblStylePr>
    <w:tblStylePr w:type="band2Horz">
      <w:tblPr/>
      <w:tcPr>
        <w:shd w:val="clear" w:color="auto" w:fill="DBE5F1"/>
      </w:tcPr>
    </w:tblStylePr>
  </w:style>
  <w:style w:type="table" w:customStyle="1" w:styleId="BorderedLined-Accent2">
    <w:name w:val="Bordered &amp; Lined - Accent 2"/>
    <w:basedOn w:val="TableNormal"/>
    <w:uiPriority w:val="99"/>
    <w:tblPr>
      <w:tblStyleRowBandSize w:val="1"/>
      <w:tblStyleColBandSize w:val="1"/>
      <w:tblInd w:w="0" w:type="dxa"/>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CellMar>
        <w:top w:w="0" w:type="dxa"/>
        <w:left w:w="0" w:type="dxa"/>
        <w:bottom w:w="0" w:type="dxa"/>
        <w:right w:w="0" w:type="dxa"/>
      </w:tblCellMar>
    </w:tblPr>
    <w:tblStylePr w:type="firstRow">
      <w:tblPr/>
      <w:tcPr>
        <w:shd w:val="clear" w:color="auto" w:fill="D99594"/>
      </w:tcPr>
    </w:tblStylePr>
    <w:tblStylePr w:type="lastRow">
      <w:tblPr/>
      <w:tcPr>
        <w:shd w:val="clear" w:color="auto" w:fill="D99594"/>
      </w:tcPr>
    </w:tblStylePr>
    <w:tblStylePr w:type="firstCol">
      <w:tblPr/>
      <w:tcPr>
        <w:shd w:val="clear" w:color="auto" w:fill="D99594"/>
      </w:tcPr>
    </w:tblStylePr>
    <w:tblStylePr w:type="lastCol">
      <w:tblPr/>
      <w:tcPr>
        <w:shd w:val="clear" w:color="auto" w:fill="D99594"/>
      </w:tcPr>
    </w:tblStylePr>
    <w:tblStylePr w:type="band2Vert">
      <w:tblPr/>
      <w:tcPr>
        <w:shd w:val="clear" w:color="auto" w:fill="F2DBDB"/>
      </w:tcPr>
    </w:tblStylePr>
    <w:tblStylePr w:type="band2Horz">
      <w:tblPr/>
      <w:tcPr>
        <w:shd w:val="clear" w:color="auto" w:fill="F2DBDB"/>
      </w:tcPr>
    </w:tblStylePr>
  </w:style>
  <w:style w:type="table" w:customStyle="1" w:styleId="BorderedLined-Accent3">
    <w:name w:val="Bordered &amp; Lined - Accent 3"/>
    <w:basedOn w:val="TableNormal"/>
    <w:uiPriority w:val="99"/>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0" w:type="dxa"/>
        <w:bottom w:w="0" w:type="dxa"/>
        <w:right w:w="0" w:type="dxa"/>
      </w:tblCellMar>
    </w:tblPr>
    <w:tblStylePr w:type="firstRow">
      <w:tblPr/>
      <w:tcPr>
        <w:shd w:val="clear" w:color="auto" w:fill="C2D69B"/>
      </w:tcPr>
    </w:tblStylePr>
    <w:tblStylePr w:type="lastRow">
      <w:tblPr/>
      <w:tcPr>
        <w:shd w:val="clear" w:color="auto" w:fill="C2D69B"/>
      </w:tcPr>
    </w:tblStylePr>
    <w:tblStylePr w:type="firstCol">
      <w:tblPr/>
      <w:tcPr>
        <w:shd w:val="clear" w:color="auto" w:fill="C2D69B"/>
      </w:tcPr>
    </w:tblStylePr>
    <w:tblStylePr w:type="lastCol">
      <w:tblPr/>
      <w:tcPr>
        <w:shd w:val="clear" w:color="auto" w:fill="C2D69B"/>
      </w:tcPr>
    </w:tblStylePr>
    <w:tblStylePr w:type="band2Vert">
      <w:tblPr/>
      <w:tcPr>
        <w:shd w:val="clear" w:color="auto" w:fill="EAF1DD"/>
      </w:tcPr>
    </w:tblStylePr>
    <w:tblStylePr w:type="band2Horz">
      <w:tblPr/>
      <w:tcPr>
        <w:shd w:val="clear" w:color="auto" w:fill="EAF1DD"/>
      </w:tcPr>
    </w:tblStylePr>
  </w:style>
  <w:style w:type="table" w:customStyle="1" w:styleId="BorderedLined-Accent4">
    <w:name w:val="Bordered &amp; Lined - Accent 4"/>
    <w:basedOn w:val="TableNormal"/>
    <w:uiPriority w:val="99"/>
    <w:tblPr>
      <w:tblStyleRowBandSize w:val="1"/>
      <w:tblStyleColBandSize w:val="1"/>
      <w:tblInd w:w="0" w:type="dxa"/>
      <w:tblBorders>
        <w:top w:val="single" w:sz="4" w:space="0" w:color="5F497A"/>
        <w:left w:val="single" w:sz="4" w:space="0" w:color="5F497A"/>
        <w:bottom w:val="single" w:sz="4" w:space="0" w:color="5F497A"/>
        <w:right w:val="single" w:sz="4" w:space="0" w:color="5F497A"/>
        <w:insideH w:val="single" w:sz="4" w:space="0" w:color="5F497A"/>
        <w:insideV w:val="single" w:sz="4" w:space="0" w:color="5F497A"/>
      </w:tblBorders>
      <w:tblCellMar>
        <w:top w:w="0" w:type="dxa"/>
        <w:left w:w="0" w:type="dxa"/>
        <w:bottom w:w="0" w:type="dxa"/>
        <w:right w:w="0" w:type="dxa"/>
      </w:tblCellMar>
    </w:tblPr>
    <w:tblStylePr w:type="firstRow">
      <w:tblPr/>
      <w:tcPr>
        <w:shd w:val="clear" w:color="auto" w:fill="B2A1C7"/>
      </w:tcPr>
    </w:tblStylePr>
    <w:tblStylePr w:type="lastRow">
      <w:tblPr/>
      <w:tcPr>
        <w:shd w:val="clear" w:color="auto" w:fill="B2A1C7"/>
      </w:tcPr>
    </w:tblStylePr>
    <w:tblStylePr w:type="firstCol">
      <w:tblPr/>
      <w:tcPr>
        <w:shd w:val="clear" w:color="auto" w:fill="B2A1C7"/>
      </w:tcPr>
    </w:tblStylePr>
    <w:tblStylePr w:type="lastCol">
      <w:tblPr/>
      <w:tcPr>
        <w:shd w:val="clear" w:color="auto" w:fill="B2A1C7"/>
      </w:tcPr>
    </w:tblStylePr>
    <w:tblStylePr w:type="band2Vert">
      <w:tblPr/>
      <w:tcPr>
        <w:shd w:val="clear" w:color="auto" w:fill="E5DFEC"/>
      </w:tcPr>
    </w:tblStylePr>
    <w:tblStylePr w:type="band2Horz">
      <w:tblPr/>
      <w:tcPr>
        <w:shd w:val="clear" w:color="auto" w:fill="E5DFEC"/>
      </w:tcPr>
    </w:tblStylePr>
  </w:style>
  <w:style w:type="table" w:customStyle="1" w:styleId="BorderedLined-Accent5">
    <w:name w:val="Bordered &amp; Lined - Accent 5"/>
    <w:basedOn w:val="TableNormal"/>
    <w:uiPriority w:val="99"/>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0" w:type="dxa"/>
        <w:left w:w="0" w:type="dxa"/>
        <w:bottom w:w="0" w:type="dxa"/>
        <w:right w:w="0" w:type="dxa"/>
      </w:tblCellMar>
    </w:tblPr>
    <w:tblStylePr w:type="firstRow">
      <w:tblPr/>
      <w:tcPr>
        <w:shd w:val="clear" w:color="auto" w:fill="92CDDC"/>
      </w:tcPr>
    </w:tblStylePr>
    <w:tblStylePr w:type="lastRow">
      <w:tblPr/>
      <w:tcPr>
        <w:shd w:val="clear" w:color="auto" w:fill="92CDDC"/>
      </w:tcPr>
    </w:tblStylePr>
    <w:tblStylePr w:type="firstCol">
      <w:tblPr/>
      <w:tcPr>
        <w:shd w:val="clear" w:color="auto" w:fill="92CDDC"/>
      </w:tcPr>
    </w:tblStylePr>
    <w:tblStylePr w:type="lastCol">
      <w:tblPr/>
      <w:tcPr>
        <w:shd w:val="clear" w:color="auto" w:fill="92CDDC"/>
      </w:tcPr>
    </w:tblStylePr>
    <w:tblStylePr w:type="band2Vert">
      <w:tblPr/>
      <w:tcPr>
        <w:shd w:val="clear" w:color="auto" w:fill="DAEEF3"/>
      </w:tcPr>
    </w:tblStylePr>
    <w:tblStylePr w:type="band2Horz">
      <w:tblPr/>
      <w:tcPr>
        <w:shd w:val="clear" w:color="auto" w:fill="DAEEF3"/>
      </w:tcPr>
    </w:tblStylePr>
  </w:style>
  <w:style w:type="table" w:customStyle="1" w:styleId="BorderedLined-Accent6">
    <w:name w:val="Bordered &amp; Lined - Accent 6"/>
    <w:basedOn w:val="TableNormal"/>
    <w:uiPriority w:val="99"/>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0" w:type="dxa"/>
        <w:left w:w="0" w:type="dxa"/>
        <w:bottom w:w="0" w:type="dxa"/>
        <w:right w:w="0" w:type="dxa"/>
      </w:tblCellMar>
    </w:tblPr>
    <w:tblStylePr w:type="firstRow">
      <w:tblPr/>
      <w:tcPr>
        <w:shd w:val="clear" w:color="auto" w:fill="FABF8F"/>
      </w:tcPr>
    </w:tblStylePr>
    <w:tblStylePr w:type="lastRow">
      <w:tblPr/>
      <w:tcPr>
        <w:shd w:val="clear" w:color="auto" w:fill="FABF8F"/>
      </w:tcPr>
    </w:tblStylePr>
    <w:tblStylePr w:type="firstCol">
      <w:tblPr/>
      <w:tcPr>
        <w:shd w:val="clear" w:color="auto" w:fill="FABF8F"/>
      </w:tcPr>
    </w:tblStylePr>
    <w:tblStylePr w:type="lastCol">
      <w:tblPr/>
      <w:tcPr>
        <w:shd w:val="clear" w:color="auto" w:fill="FABF8F"/>
      </w:tcPr>
    </w:tblStylePr>
    <w:tblStylePr w:type="band2Vert">
      <w:tblPr/>
      <w:tcPr>
        <w:shd w:val="clear" w:color="auto" w:fill="FDE9D9"/>
      </w:tcPr>
    </w:tblStylePr>
    <w:tblStylePr w:type="band2Horz">
      <w:tblPr/>
      <w:tcPr>
        <w:shd w:val="clear" w:color="auto" w:fill="FDE9D9"/>
      </w:tcPr>
    </w:tblStylePr>
  </w:style>
  <w:style w:type="table" w:customStyle="1" w:styleId="205">
    <w:name w:val="205"/>
    <w:basedOn w:val="TableNormal0"/>
    <w:tblPr>
      <w:tblStyleRowBandSize w:val="1"/>
      <w:tblStyleColBandSize w:val="1"/>
      <w:tblBorders>
        <w:top w:val="single" w:sz="8" w:space="0" w:color="9BBB59"/>
        <w:left w:val="single" w:sz="8" w:space="0" w:color="9BBB59"/>
        <w:bottom w:val="single" w:sz="8" w:space="0" w:color="9BBB59"/>
        <w:right w:val="single" w:sz="8" w:space="0" w:color="9BBB59"/>
      </w:tblBorders>
      <w:tblCellMar>
        <w:top w:w="0" w:type="dxa"/>
        <w:left w:w="0" w:type="dxa"/>
        <w:bottom w:w="0" w:type="dxa"/>
        <w:right w:w="0" w:type="dxa"/>
      </w:tblCellMar>
    </w:tblPr>
  </w:style>
  <w:style w:type="table" w:customStyle="1" w:styleId="211">
    <w:name w:val="211"/>
    <w:basedOn w:val="TableNormal0"/>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0" w:type="dxa"/>
        <w:bottom w:w="0" w:type="dxa"/>
        <w:right w:w="0" w:type="dxa"/>
      </w:tblCellMar>
    </w:tblPr>
  </w:style>
  <w:style w:type="table" w:customStyle="1" w:styleId="213">
    <w:name w:val="213"/>
    <w:basedOn w:val="TableNormal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0" w:type="dxa"/>
        <w:bottom w:w="0" w:type="dxa"/>
        <w:right w:w="0" w:type="dxa"/>
      </w:tblCellMar>
    </w:tblPr>
  </w:style>
  <w:style w:type="table" w:customStyle="1" w:styleId="217">
    <w:name w:val="217"/>
    <w:basedOn w:val="TableNormal0"/>
    <w:tblPr>
      <w:tblStyleRowBandSize w:val="1"/>
      <w:tblStyleColBandSize w:val="1"/>
      <w:tblBorders>
        <w:insideH w:val="single" w:sz="4" w:space="0" w:color="FFFFFF"/>
      </w:tblBorders>
      <w:tblCellMar>
        <w:top w:w="0" w:type="dxa"/>
        <w:left w:w="0" w:type="dxa"/>
        <w:bottom w:w="0" w:type="dxa"/>
        <w:right w:w="0" w:type="dxa"/>
      </w:tblCellMar>
    </w:tblPr>
  </w:style>
  <w:style w:type="numbering" w:customStyle="1" w:styleId="GenStyleDefNum">
    <w:name w:val="GenStyleDefNum"/>
  </w:style>
  <w:style w:type="paragraph" w:customStyle="1" w:styleId="GenStyleDefPar">
    <w:name w:val="GenStyleDefPar"/>
  </w:style>
  <w:style w:type="table" w:customStyle="1" w:styleId="GenStyleDefTable">
    <w:name w:val="GenStyleDefTable"/>
    <w:tblPr>
      <w:tblStyleRowBandSize w:val="1"/>
      <w:tblStyleColBandSize w:val="1"/>
      <w:tblCellMar>
        <w:top w:w="0" w:type="dxa"/>
        <w:left w:w="0" w:type="dxa"/>
        <w:bottom w:w="0" w:type="dxa"/>
        <w:right w:w="0" w:type="dxa"/>
      </w:tblCellMar>
    </w:tblPr>
  </w:style>
  <w:style w:type="table" w:customStyle="1" w:styleId="GenStyleDefTableGrid">
    <w:name w:val="GenStyleDefTableGrid"/>
    <w:basedOn w:val="GenStyleDefTable"/>
    <w:uiPriority w:val="5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GenStyleDefNum0">
    <w:name w:val="GenStyleDefNum"/>
  </w:style>
  <w:style w:type="paragraph" w:customStyle="1" w:styleId="GenStyleDefPar0">
    <w:name w:val="GenStyleDefPar"/>
  </w:style>
  <w:style w:type="table" w:customStyle="1" w:styleId="GenStyleDefTable0">
    <w:name w:val="GenStyleDefTable"/>
    <w:tblPr>
      <w:tblStyleRowBandSize w:val="1"/>
      <w:tblStyleColBandSize w:val="1"/>
      <w:tblCellMar>
        <w:top w:w="0" w:type="dxa"/>
        <w:left w:w="0" w:type="dxa"/>
        <w:bottom w:w="0" w:type="dxa"/>
        <w:right w:w="0" w:type="dxa"/>
      </w:tblCellMar>
    </w:tblPr>
  </w:style>
  <w:style w:type="table" w:customStyle="1" w:styleId="GenStyleDefTableGrid0">
    <w:name w:val="GenStyleDefTableGrid"/>
    <w:basedOn w:val="GenStyleDefTable0"/>
    <w:uiPriority w:val="5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Character">
    <w:name w:val="NormalCharacter"/>
    <w:semiHidden/>
  </w:style>
  <w:style w:type="table" w:customStyle="1" w:styleId="TableNormal0">
    <w:name w:val="TableNormal"/>
    <w:semiHidden/>
    <w:tblPr>
      <w:tblStyleRowBandSize w:val="1"/>
      <w:tblStyleColBandSize w:val="1"/>
      <w:tblCellMar>
        <w:top w:w="0" w:type="dxa"/>
        <w:left w:w="108" w:type="dxa"/>
        <w:bottom w:w="0" w:type="dxa"/>
        <w:right w:w="108" w:type="dxa"/>
      </w:tblCellMar>
    </w:tblPr>
  </w:style>
  <w:style w:type="numbering" w:customStyle="1" w:styleId="NormalList">
    <w:name w:val="NormalList"/>
    <w:semiHidden/>
  </w:style>
  <w:style w:type="paragraph" w:styleId="Header">
    <w:name w:val="header"/>
    <w:basedOn w:val="Normal"/>
    <w:pPr>
      <w:tabs>
        <w:tab w:val="center" w:pos="4680"/>
        <w:tab w:val="right" w:pos="9360"/>
      </w:tabs>
    </w:pPr>
  </w:style>
  <w:style w:type="character" w:customStyle="1" w:styleId="StGen5">
    <w:name w:val="StGen5"/>
    <w:rPr>
      <w:sz w:val="22"/>
      <w:szCs w:val="22"/>
      <w:lang w:eastAsia="en-US"/>
    </w:rPr>
  </w:style>
  <w:style w:type="paragraph" w:styleId="Footer">
    <w:name w:val="footer"/>
    <w:basedOn w:val="Normal"/>
    <w:pPr>
      <w:tabs>
        <w:tab w:val="center" w:pos="4680"/>
        <w:tab w:val="right" w:pos="9360"/>
      </w:tabs>
    </w:pPr>
  </w:style>
  <w:style w:type="character" w:customStyle="1" w:styleId="StGen6">
    <w:name w:val="StGen6"/>
    <w:rPr>
      <w:sz w:val="22"/>
      <w:szCs w:val="22"/>
      <w:lang w:eastAsia="en-US"/>
    </w:rPr>
  </w:style>
  <w:style w:type="character" w:customStyle="1" w:styleId="StGen1">
    <w:name w:val="StGen1"/>
    <w:rPr>
      <w:rFonts w:ascii="Arial" w:eastAsia="Times New Roman" w:hAnsi="Arial" w:hint="cs"/>
      <w:b/>
      <w:bCs/>
      <w:sz w:val="28"/>
      <w:szCs w:val="32"/>
      <w:lang w:eastAsia="en-US"/>
    </w:rPr>
  </w:style>
  <w:style w:type="paragraph" w:customStyle="1" w:styleId="StGen7">
    <w:name w:val="StGen7"/>
    <w:basedOn w:val="Normal"/>
    <w:pPr>
      <w:spacing w:before="60" w:after="60" w:line="240" w:lineRule="auto"/>
    </w:pPr>
    <w:rPr>
      <w:rFonts w:eastAsia="Times New Roman"/>
      <w:lang w:val="en-US"/>
    </w:rPr>
  </w:style>
  <w:style w:type="character" w:customStyle="1" w:styleId="StGen2">
    <w:name w:val="StGen2"/>
    <w:rPr>
      <w:rFonts w:ascii="Arial" w:eastAsia="Times New Roman" w:hAnsi="Arial" w:hint="cs"/>
      <w:b/>
      <w:bCs/>
      <w:i/>
      <w:iCs/>
      <w:sz w:val="24"/>
      <w:szCs w:val="28"/>
      <w:lang w:eastAsia="en-US"/>
    </w:rPr>
  </w:style>
  <w:style w:type="paragraph" w:customStyle="1" w:styleId="StGen8">
    <w:name w:val="StGen8"/>
    <w:pPr>
      <w:tabs>
        <w:tab w:val="right" w:pos="6840"/>
      </w:tabs>
    </w:pPr>
    <w:rPr>
      <w:rFonts w:ascii="Arial" w:eastAsia="Times New Roman" w:hAnsi="Arial" w:hint="cs"/>
      <w:color w:val="FFFFFF"/>
      <w:sz w:val="18"/>
      <w:szCs w:val="18"/>
      <w:lang w:bidi="ar-SA"/>
    </w:rPr>
  </w:style>
  <w:style w:type="paragraph" w:customStyle="1" w:styleId="Acetate">
    <w:name w:val="Acetate"/>
    <w:basedOn w:val="Normal"/>
    <w:semiHidden/>
    <w:pPr>
      <w:spacing w:after="0" w:line="240" w:lineRule="auto"/>
    </w:pPr>
    <w:rPr>
      <w:rFonts w:ascii="Tahoma" w:hAnsi="Tahoma"/>
      <w:sz w:val="16"/>
      <w:szCs w:val="16"/>
    </w:rPr>
  </w:style>
  <w:style w:type="character" w:customStyle="1" w:styleId="StGen9">
    <w:name w:val="StGen9"/>
    <w:semiHidden/>
    <w:rPr>
      <w:rFonts w:ascii="Tahoma" w:hAnsi="Tahoma" w:hint="cs"/>
      <w:sz w:val="16"/>
      <w:szCs w:val="16"/>
      <w:lang w:eastAsia="en-US"/>
    </w:rPr>
  </w:style>
  <w:style w:type="paragraph" w:customStyle="1" w:styleId="StGen10">
    <w:name w:val="StGen10"/>
    <w:basedOn w:val="StGen7"/>
    <w:rPr>
      <w:b/>
      <w:bCs/>
      <w:color w:val="FFFFFF"/>
      <w:szCs w:val="20"/>
    </w:rPr>
  </w:style>
  <w:style w:type="character" w:customStyle="1" w:styleId="StGen3">
    <w:name w:val="StGen3"/>
    <w:rPr>
      <w:rFonts w:ascii="Arial" w:eastAsia="Times New Roman" w:hAnsi="Arial" w:hint="cs"/>
      <w:b/>
      <w:bCs/>
      <w:szCs w:val="26"/>
      <w:lang w:eastAsia="en-US"/>
    </w:rPr>
  </w:style>
  <w:style w:type="character" w:customStyle="1" w:styleId="StGen4">
    <w:name w:val="StGen4"/>
    <w:rPr>
      <w:rFonts w:ascii="Arial" w:eastAsia="Times New Roman" w:hAnsi="Arial" w:hint="cs"/>
      <w:b/>
      <w:bCs/>
      <w:i/>
      <w:szCs w:val="28"/>
      <w:lang w:eastAsia="en-US"/>
    </w:rPr>
  </w:style>
  <w:style w:type="paragraph" w:customStyle="1" w:styleId="StGen11">
    <w:name w:val="StGen11"/>
    <w:basedOn w:val="Normal"/>
    <w:pPr>
      <w:jc w:val="right"/>
    </w:pPr>
    <w:rPr>
      <w:color w:val="FFFFFF"/>
      <w:sz w:val="22"/>
    </w:rPr>
  </w:style>
  <w:style w:type="character" w:styleId="Hyperlink">
    <w:name w:val="Hyperlink"/>
    <w:rPr>
      <w:color w:val="0000FF"/>
      <w:u w:val="single"/>
    </w:rPr>
  </w:style>
  <w:style w:type="character" w:styleId="FollowedHyperlink">
    <w:name w:val="FollowedHyperlink"/>
    <w:semiHidden/>
    <w:rPr>
      <w:color w:val="800080"/>
      <w:u w:val="single"/>
    </w:rPr>
  </w:style>
  <w:style w:type="character" w:customStyle="1" w:styleId="AnnotationReference">
    <w:name w:val="AnnotationReference"/>
    <w:semiHidden/>
    <w:rPr>
      <w:sz w:val="16"/>
      <w:szCs w:val="16"/>
    </w:rPr>
  </w:style>
  <w:style w:type="paragraph" w:customStyle="1" w:styleId="AnnotationText">
    <w:name w:val="AnnotationText"/>
    <w:basedOn w:val="Normal"/>
    <w:semiHidden/>
    <w:rPr>
      <w:szCs w:val="20"/>
    </w:rPr>
  </w:style>
  <w:style w:type="character" w:customStyle="1" w:styleId="StGen12">
    <w:name w:val="StGen12"/>
    <w:semiHidden/>
    <w:rPr>
      <w:rFonts w:ascii="Arial" w:hAnsi="Arial" w:hint="cs"/>
      <w:lang w:val="en-CA" w:eastAsia="en-US"/>
    </w:rPr>
  </w:style>
  <w:style w:type="paragraph" w:customStyle="1" w:styleId="AnnotationSubject">
    <w:name w:val="AnnotationSubject"/>
    <w:basedOn w:val="AnnotationText"/>
    <w:next w:val="AnnotationText"/>
    <w:semiHidden/>
    <w:rPr>
      <w:b/>
      <w:bCs/>
    </w:rPr>
  </w:style>
  <w:style w:type="character" w:customStyle="1" w:styleId="StGen13">
    <w:name w:val="StGen13"/>
    <w:semiHidden/>
    <w:rPr>
      <w:rFonts w:ascii="Arial" w:hAnsi="Arial" w:hint="cs"/>
      <w:b/>
      <w:bCs/>
      <w:lang w:val="en-CA" w:eastAsia="en-US"/>
    </w:rPr>
  </w:style>
  <w:style w:type="character" w:customStyle="1" w:styleId="StGen0">
    <w:name w:val="StGen0"/>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rFonts w:ascii="Arial" w:hAnsi="Arial"/>
      <w:sz w:val="24"/>
      <w:szCs w:val="24"/>
      <w:lang w:val="en-CA"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10E1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0E13"/>
    <w:rPr>
      <w:rFonts w:ascii="Lucida Grande" w:hAnsi="Lucida Grande" w:cs="Lucida Grande"/>
      <w:sz w:val="18"/>
      <w:szCs w:val="18"/>
      <w:lang w:val="en-CA" w:bidi="ar-SA"/>
    </w:rPr>
  </w:style>
  <w:style w:type="paragraph" w:styleId="CommentSubject">
    <w:name w:val="annotation subject"/>
    <w:basedOn w:val="CommentText"/>
    <w:next w:val="CommentText"/>
    <w:link w:val="CommentSubjectChar"/>
    <w:uiPriority w:val="99"/>
    <w:semiHidden/>
    <w:unhideWhenUsed/>
    <w:rsid w:val="004C0812"/>
    <w:rPr>
      <w:b/>
      <w:bCs/>
      <w:sz w:val="20"/>
      <w:szCs w:val="20"/>
    </w:rPr>
  </w:style>
  <w:style w:type="character" w:customStyle="1" w:styleId="CommentSubjectChar">
    <w:name w:val="Comment Subject Char"/>
    <w:basedOn w:val="CommentTextChar"/>
    <w:link w:val="CommentSubject"/>
    <w:uiPriority w:val="99"/>
    <w:semiHidden/>
    <w:rsid w:val="004C0812"/>
    <w:rPr>
      <w:rFonts w:ascii="Arial" w:hAnsi="Arial"/>
      <w:b/>
      <w:bCs/>
      <w:sz w:val="24"/>
      <w:szCs w:val="20"/>
      <w:lang w:val="en-C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1115">
      <w:bodyDiv w:val="1"/>
      <w:marLeft w:val="0"/>
      <w:marRight w:val="0"/>
      <w:marTop w:val="0"/>
      <w:marBottom w:val="0"/>
      <w:divBdr>
        <w:top w:val="none" w:sz="0" w:space="0" w:color="auto"/>
        <w:left w:val="none" w:sz="0" w:space="0" w:color="auto"/>
        <w:bottom w:val="none" w:sz="0" w:space="0" w:color="auto"/>
        <w:right w:val="none" w:sz="0" w:space="0" w:color="auto"/>
      </w:divBdr>
    </w:div>
    <w:div w:id="385688554">
      <w:bodyDiv w:val="1"/>
      <w:marLeft w:val="0"/>
      <w:marRight w:val="0"/>
      <w:marTop w:val="0"/>
      <w:marBottom w:val="0"/>
      <w:divBdr>
        <w:top w:val="none" w:sz="0" w:space="0" w:color="auto"/>
        <w:left w:val="none" w:sz="0" w:space="0" w:color="auto"/>
        <w:bottom w:val="none" w:sz="0" w:space="0" w:color="auto"/>
        <w:right w:val="none" w:sz="0" w:space="0" w:color="auto"/>
      </w:divBdr>
    </w:div>
    <w:div w:id="562446745">
      <w:bodyDiv w:val="1"/>
      <w:marLeft w:val="0"/>
      <w:marRight w:val="0"/>
      <w:marTop w:val="0"/>
      <w:marBottom w:val="0"/>
      <w:divBdr>
        <w:top w:val="none" w:sz="0" w:space="0" w:color="auto"/>
        <w:left w:val="none" w:sz="0" w:space="0" w:color="auto"/>
        <w:bottom w:val="none" w:sz="0" w:space="0" w:color="auto"/>
        <w:right w:val="none" w:sz="0" w:space="0" w:color="auto"/>
      </w:divBdr>
    </w:div>
    <w:div w:id="1071662461">
      <w:bodyDiv w:val="1"/>
      <w:marLeft w:val="0"/>
      <w:marRight w:val="0"/>
      <w:marTop w:val="0"/>
      <w:marBottom w:val="0"/>
      <w:divBdr>
        <w:top w:val="none" w:sz="0" w:space="0" w:color="auto"/>
        <w:left w:val="none" w:sz="0" w:space="0" w:color="auto"/>
        <w:bottom w:val="none" w:sz="0" w:space="0" w:color="auto"/>
        <w:right w:val="none" w:sz="0" w:space="0" w:color="auto"/>
      </w:divBdr>
    </w:div>
    <w:div w:id="186227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mmoncriteriaportal.org" TargetMode="External"/><Relationship Id="rId20" Type="http://schemas.openxmlformats.org/officeDocument/2006/relationships/theme" Target="theme/theme1.xml"/><Relationship Id="rId21" Type="http://schemas.microsoft.com/office/2011/relationships/commentsExtended" Target="commentsExtended.xml"/><Relationship Id="rId22" Type="http://schemas.microsoft.com/office/2011/relationships/people" Target="people.xml"/><Relationship Id="rId10" Type="http://schemas.openxmlformats.org/officeDocument/2006/relationships/hyperlink" Target="http://www.commoncriteriaportal.org" TargetMode="External"/><Relationship Id="rId11" Type="http://schemas.openxmlformats.org/officeDocument/2006/relationships/hyperlink" Target="http://www.commoncriteriaportal.org/products.html" TargetMode="External"/><Relationship Id="rId12" Type="http://schemas.openxmlformats.org/officeDocument/2006/relationships/hyperlink" Target="http://www.commoncriteriaportal.org/pps/" TargetMode="External"/><Relationship Id="rId13" Type="http://schemas.openxmlformats.org/officeDocument/2006/relationships/hyperlink" Target="http://www.commoncriteriaportal.org/communities/technical_communities.cfm" TargetMode="External"/><Relationship Id="rId14" Type="http://schemas.openxmlformats.org/officeDocument/2006/relationships/hyperlink" Target="https://ccusersforum.onlyoffice.com/auth.aspx" TargetMode="External"/><Relationship Id="rId15" Type="http://schemas.openxmlformats.org/officeDocument/2006/relationships/image" Target="media/image1.png"/><Relationship Id="rId16" Type="http://schemas.openxmlformats.org/officeDocument/2006/relationships/image" Target="media/image2.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74BAF-79C7-F440-B2D5-49F620EF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1244</Words>
  <Characters>7603</Characters>
  <Application>Microsoft Macintosh Word</Application>
  <DocSecurity>0</DocSecurity>
  <Lines>118</Lines>
  <Paragraphs>70</Paragraphs>
  <ScaleCrop>false</ScaleCrop>
  <HeadingPairs>
    <vt:vector size="2" baseType="variant">
      <vt:variant>
        <vt:lpstr>Title</vt:lpstr>
      </vt:variant>
      <vt:variant>
        <vt:i4>1</vt:i4>
      </vt:variant>
    </vt:vector>
  </HeadingPairs>
  <TitlesOfParts>
    <vt:vector size="1" baseType="lpstr">
      <vt:lpstr/>
    </vt:vector>
  </TitlesOfParts>
  <Manager/>
  <Company>CCUF</Company>
  <LinksUpToDate>false</LinksUpToDate>
  <CharactersWithSpaces>8777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Lachlan Turner</dc:creator>
  <cp:keywords/>
  <dc:description/>
  <cp:lastModifiedBy>Lachlan Turner</cp:lastModifiedBy>
  <cp:revision>3</cp:revision>
  <cp:lastPrinted>2014-09-08T10:27:00Z</cp:lastPrinted>
  <dcterms:created xsi:type="dcterms:W3CDTF">2014-09-08T10:27:00Z</dcterms:created>
  <dcterms:modified xsi:type="dcterms:W3CDTF">2014-09-08T10:27:00Z</dcterms:modified>
  <cp:category/>
</cp:coreProperties>
</file>