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5876" w:type="dxa"/>
        <w:jc w:val="center"/>
        <w:tblBorders>
          <w:left w:val="single" w:color="000000" w:sz="6" w:space="0"/>
          <w:top w:val="single" w:color="000000" w:sz="6" w:space="0"/>
          <w:right w:val="single" w:color="000000" w:sz="6" w:space="0"/>
          <w:bottom w:val="single" w:color="000000" w:sz="6" w:space="0"/>
          <w:insideV w:val="single" w:color="000000" w:sz="6" w:space="0"/>
          <w:insideH w:val="none" w:color="000000" w:sz="0" w:space="0"/>
        </w:tblBorders>
        <w:tblLayout w:type="fixed"/>
        <w:tblCellMar>
          <w:left w:w="99" w:type="dxa"/>
          <w:top w:w="0" w:type="dxa"/>
          <w:right w:w="99" w:type="dxa"/>
          <w:bottom w:w="0" w:type="dxa"/>
        </w:tblCellMar>
        <w:tblLook w:val="04A0" w:firstRow="1" w:lastRow="0" w:firstColumn="1" w:lastColumn="0" w:noHBand="0" w:noVBand="1"/>
      </w:tblPr>
      <w:tblGrid>
        <w:gridCol w:w="606"/>
        <w:gridCol w:w="908"/>
        <w:gridCol w:w="1209"/>
        <w:gridCol w:w="1209"/>
        <w:gridCol w:w="1115"/>
        <w:gridCol w:w="4177"/>
        <w:gridCol w:w="4233"/>
        <w:gridCol w:w="2419"/>
      </w:tblGrid>
      <w:tr>
        <w:trPr/>
        <w:tc>
          <w:tcPr>
            <w:tcBorders>
              <w:top w:val="single" w:color="000000" w:sz="6" w:space="0"/>
              <w:bottom w:val="single" w:color="000000" w:sz="6" w:space="0"/>
            </w:tcBorders>
            <w:tcW w:w="606" w:type="dxa"/>
            <w:vAlign w:val="top"/>
            <w:textDirection w:val="lrTb"/>
            <w:noWrap w:val="false"/>
          </w:tcPr>
          <w:p>
            <w:pPr>
              <w:pStyle w:val="169"/>
              <w:spacing w:lineRule="auto" w:line="240" w:after="60" w:before="60"/>
            </w:pPr>
            <w:r>
              <w:t xml:space="preserve">Leave blank for now!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908" w:type="dxa"/>
            <w:vAlign w:val="top"/>
            <w:textDirection w:val="lrTb"/>
            <w:noWrap w:val="false"/>
          </w:tcPr>
          <w:p>
            <w:pPr>
              <w:pStyle w:val="170"/>
              <w:spacing w:lineRule="auto" w:line="240" w:after="60" w:before="60"/>
            </w:pPr>
            <w:r>
              <w:t xml:space="preserve">1023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170"/>
              <w:spacing w:lineRule="auto" w:line="240" w:after="60" w:before="60"/>
            </w:pPr>
            <w:r>
              <w:t xml:space="preserve">8.2.1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171"/>
              <w:spacing w:lineRule="auto" w:line="240" w:after="60" w:before="60"/>
            </w:pPr>
            <w:r>
              <w:t xml:space="preserve">Figure 3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15" w:type="dxa"/>
            <w:vAlign w:val="top"/>
            <w:textDirection w:val="lrTb"/>
            <w:noWrap w:val="false"/>
          </w:tcPr>
          <w:p>
            <w:pPr>
              <w:pStyle w:val="173"/>
              <w:spacing w:lineRule="auto" w:line="240" w:after="60" w:before="60"/>
            </w:pPr>
            <w:r>
              <w:t xml:space="preserve">ed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177" w:type="dxa"/>
            <w:vAlign w:val="top"/>
            <w:textDirection w:val="lrTb"/>
            <w:noWrap w:val="false"/>
          </w:tcPr>
          <w:p>
            <w:pPr>
              <w:pStyle w:val="174"/>
              <w:spacing w:lineRule="auto" w:line="240" w:after="60" w:before="60"/>
            </w:pPr>
            <w:r>
              <w:t xml:space="preserve">Typo:</w:t>
            </w:r>
            <w:r/>
          </w:p>
          <w:p>
            <w:pPr>
              <w:pStyle w:val="174"/>
              <w:spacing w:lineRule="auto" w:line="240" w:after="60" w:before="60"/>
            </w:pPr>
            <w:r>
              <w:t xml:space="preserve">The word “principle” is mis-spelled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233" w:type="dxa"/>
            <w:vAlign w:val="top"/>
            <w:textDirection w:val="lrTb"/>
            <w:noWrap w:val="false"/>
          </w:tcPr>
          <w:p>
            <w:pPr>
              <w:pStyle w:val="175"/>
              <w:spacing w:lineRule="auto" w:line="240" w:after="60" w:before="60"/>
            </w:pPr>
            <w:r>
              <w:t xml:space="preserve">Please replace “principle” with “principal”.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419" w:type="dxa"/>
            <w:vAlign w:val="top"/>
            <w:textDirection w:val="lrTb"/>
            <w:noWrap w:val="false"/>
          </w:tcPr>
          <w:p>
            <w:pPr>
              <w:pStyle w:val="176"/>
              <w:spacing w:lineRule="auto" w:line="240" w:after="60" w:before="60"/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bottom w:val="single" w:color="000000" w:sz="6" w:space="0"/>
            </w:tcBorders>
            <w:tcW w:w="606" w:type="dxa"/>
            <w:vAlign w:val="top"/>
            <w:textDirection w:val="lrTb"/>
            <w:noWrap w:val="false"/>
          </w:tcPr>
          <w:p>
            <w:pPr>
              <w:pStyle w:val="169"/>
              <w:spacing w:lineRule="auto" w:line="240" w:after="60" w:before="60"/>
            </w:pPr>
            <w:r/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908" w:type="dxa"/>
            <w:vAlign w:val="top"/>
            <w:textDirection w:val="lrTb"/>
            <w:noWrap w:val="false"/>
          </w:tcPr>
          <w:p>
            <w:pPr>
              <w:pStyle w:val="170"/>
              <w:spacing w:lineRule="auto" w:line="240" w:after="60" w:before="60"/>
            </w:pPr>
            <w:r/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170"/>
              <w:spacing w:lineRule="auto" w:line="240" w:after="60" w:before="60"/>
            </w:pPr>
            <w:r/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171"/>
              <w:spacing w:lineRule="auto" w:line="240" w:after="60" w:before="60"/>
            </w:pPr>
            <w:r/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15" w:type="dxa"/>
            <w:vAlign w:val="top"/>
            <w:textDirection w:val="lrTb"/>
            <w:noWrap w:val="false"/>
          </w:tcPr>
          <w:p>
            <w:pPr>
              <w:pStyle w:val="173"/>
              <w:spacing w:lineRule="auto" w:line="240" w:after="60" w:before="60"/>
            </w:pPr>
            <w:r/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177" w:type="dxa"/>
            <w:vAlign w:val="top"/>
            <w:textDirection w:val="lrTb"/>
            <w:noWrap w:val="false"/>
          </w:tcPr>
          <w:p>
            <w:pPr>
              <w:pStyle w:val="174"/>
              <w:spacing w:lineRule="auto" w:line="240" w:after="60" w:before="60"/>
            </w:pPr>
            <w:r>
              <w:t xml:space="preserve">What on earth was the editor of thinking of.</w:t>
            </w:r>
            <w:r/>
          </w:p>
          <w:p>
            <w:pPr>
              <w:pStyle w:val="174"/>
              <w:spacing w:lineRule="auto" w:line="240" w:after="60" w:before="60"/>
            </w:pPr>
            <w:r>
              <w:t xml:space="preserve">This is plain wrong!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233" w:type="dxa"/>
            <w:vAlign w:val="top"/>
            <w:textDirection w:val="lrTb"/>
            <w:noWrap w:val="false"/>
          </w:tcPr>
          <w:p>
            <w:pPr>
              <w:pStyle w:val="175"/>
              <w:spacing w:lineRule="auto" w:line="240" w:after="60" w:before="60"/>
            </w:pPr>
            <w:r>
              <w:t xml:space="preserve">Fix it!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419" w:type="dxa"/>
            <w:vAlign w:val="top"/>
            <w:textDirection w:val="lrTb"/>
            <w:noWrap w:val="false"/>
          </w:tcPr>
          <w:p>
            <w:pPr>
              <w:pStyle w:val="176"/>
              <w:spacing w:lineRule="auto" w:line="240" w:after="60" w:before="60"/>
            </w:pPr>
            <w:r/>
            <w:r/>
          </w:p>
        </w:tc>
      </w:tr>
    </w:tbl>
    <w:p>
      <w:pPr>
        <w:pStyle w:val="159"/>
        <w:spacing w:lineRule="exact" w:line="240"/>
      </w:pPr>
      <w:r/>
      <w:r/>
    </w:p>
    <w:p>
      <w:pPr>
        <w:pStyle w:val="159"/>
      </w:pPr>
      <w:r/>
      <w:r/>
    </w:p>
    <w:p>
      <w:pPr>
        <w:pStyle w:val="159"/>
      </w:pPr>
      <w:r/>
      <w:r/>
    </w:p>
    <w:p>
      <w:pPr>
        <w:pStyle w:val="159"/>
      </w:pPr>
      <w:r/>
      <w:r/>
    </w:p>
    <w:p>
      <w:pPr>
        <w:pStyle w:val="159"/>
      </w:pPr>
      <w:r/>
      <w:r/>
    </w:p>
    <w:p>
      <w:pPr>
        <w:pStyle w:val="159"/>
      </w:pPr>
      <w:r/>
      <w:r/>
    </w:p>
    <w:sectPr>
      <w:headerReference w:type="default" r:id="rId7"/>
      <w:headerReference w:type="first" r:id="rId8"/>
      <w:footerReference w:type="default" r:id="rId9"/>
      <w:footerReference w:type="first" r:id="rId10"/>
      <w:footnotePr/>
      <w:type w:val="continuous"/>
      <w:pgSz w:w="16840" w:h="11907" w:orient="landscape"/>
      <w:pgMar w:top="851" w:right="851" w:bottom="851" w:left="851" w:gutter="0" w:header="567" w:footer="567"/>
      <w:pgNumType w:start="1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8"/>
      <w:jc w:val="left"/>
      <w:spacing w:after="20" w:before="20"/>
      <w:tabs>
        <w:tab w:val="left" w:pos="284" w:leader="none"/>
        <w:tab w:val="left" w:pos="3969" w:leader="none"/>
        <w:tab w:val="clear" w:pos="4820" w:leader="none"/>
        <w:tab w:val="clear" w:pos="9639" w:leader="none"/>
      </w:tabs>
      <w:rPr>
        <w:rStyle w:val="172"/>
        <w:bCs/>
        <w:sz w:val="16"/>
      </w:rPr>
    </w:pPr>
    <w:r>
      <w:rPr>
        <w:rStyle w:val="172"/>
        <w:bCs/>
        <w:sz w:val="16"/>
      </w:rPr>
      <w:t xml:space="preserve">1</w:t>
      <w:tab/>
    </w:r>
    <w:r>
      <w:rPr>
        <w:rStyle w:val="172"/>
        <w:b/>
        <w:sz w:val="16"/>
      </w:rPr>
      <w:t xml:space="preserve">MB</w:t>
    </w:r>
    <w:r>
      <w:rPr>
        <w:rStyle w:val="172"/>
        <w:bCs/>
        <w:sz w:val="16"/>
      </w:rPr>
      <w:t xml:space="preserve"> = Member body </w:t>
    </w:r>
    <w:r>
      <w:rPr>
        <w:rStyle w:val="172"/>
        <w:bCs/>
        <w:sz w:val="16"/>
      </w:rPr>
      <w:t xml:space="preserve">/ </w:t>
    </w:r>
    <w:r>
      <w:rPr>
        <w:rStyle w:val="172"/>
        <w:b/>
        <w:bCs/>
        <w:sz w:val="16"/>
      </w:rPr>
      <w:t xml:space="preserve">NC</w:t>
    </w:r>
    <w:r>
      <w:rPr>
        <w:rStyle w:val="172"/>
        <w:bCs/>
        <w:sz w:val="16"/>
      </w:rPr>
      <w:t xml:space="preserve"> = National Committee </w:t>
    </w:r>
    <w:r>
      <w:rPr>
        <w:rStyle w:val="172"/>
        <w:bCs/>
        <w:sz w:val="16"/>
      </w:rPr>
      <w:t xml:space="preserve">(enter the ISO 3166 two-letter country code, e.g. CN for China; comments from the ISO/CS editing unit are identified by </w:t>
    </w:r>
    <w:r>
      <w:rPr>
        <w:rStyle w:val="172"/>
        <w:b/>
        <w:sz w:val="16"/>
      </w:rPr>
      <w:t xml:space="preserve">**</w:t>
    </w:r>
    <w:r>
      <w:rPr>
        <w:rStyle w:val="172"/>
        <w:bCs/>
        <w:sz w:val="16"/>
      </w:rPr>
      <w:t xml:space="preserve">)</w:t>
    </w:r>
    <w:r/>
  </w:p>
  <w:p>
    <w:pPr>
      <w:pStyle w:val="168"/>
      <w:jc w:val="left"/>
      <w:spacing w:after="20" w:before="20"/>
      <w:tabs>
        <w:tab w:val="left" w:pos="284" w:leader="none"/>
        <w:tab w:val="left" w:pos="1843" w:leader="none"/>
        <w:tab w:val="left" w:pos="2268" w:leader="none"/>
        <w:tab w:val="left" w:pos="3119" w:leader="none"/>
        <w:tab w:val="left" w:pos="4395" w:leader="none"/>
        <w:tab w:val="clear" w:pos="4820" w:leader="none"/>
        <w:tab w:val="clear" w:pos="9639" w:leader="none"/>
      </w:tabs>
      <w:rPr>
        <w:rStyle w:val="172"/>
        <w:bCs/>
        <w:sz w:val="16"/>
      </w:rPr>
    </w:pPr>
    <w:r>
      <w:rPr>
        <w:rStyle w:val="172"/>
        <w:sz w:val="16"/>
      </w:rPr>
      <w:t xml:space="preserve">2</w:t>
    </w:r>
    <w:r>
      <w:rPr>
        <w:rStyle w:val="172"/>
        <w:b/>
        <w:sz w:val="16"/>
      </w:rPr>
      <w:tab/>
      <w:t xml:space="preserve">Type of comment:</w:t>
    </w:r>
    <w:r>
      <w:rPr>
        <w:rStyle w:val="172"/>
        <w:bCs/>
        <w:sz w:val="16"/>
      </w:rPr>
      <w:tab/>
    </w:r>
    <w:r>
      <w:rPr>
        <w:rStyle w:val="172"/>
        <w:b/>
        <w:sz w:val="16"/>
      </w:rPr>
      <w:t xml:space="preserve">ge</w:t>
    </w:r>
    <w:r>
      <w:rPr>
        <w:rStyle w:val="172"/>
        <w:bCs/>
        <w:sz w:val="16"/>
      </w:rPr>
      <w:t xml:space="preserve"> = general</w:t>
      <w:tab/>
    </w:r>
    <w:r>
      <w:rPr>
        <w:rStyle w:val="172"/>
        <w:b/>
        <w:sz w:val="16"/>
      </w:rPr>
      <w:t xml:space="preserve">te</w:t>
    </w:r>
    <w:r>
      <w:rPr>
        <w:rStyle w:val="172"/>
        <w:bCs/>
        <w:sz w:val="16"/>
      </w:rPr>
      <w:t xml:space="preserve"> = technical </w:t>
      <w:tab/>
    </w:r>
    <w:r>
      <w:rPr>
        <w:rStyle w:val="172"/>
        <w:b/>
        <w:sz w:val="16"/>
      </w:rPr>
      <w:t xml:space="preserve">ed</w:t>
    </w:r>
    <w:r>
      <w:rPr>
        <w:rStyle w:val="172"/>
        <w:bCs/>
        <w:sz w:val="16"/>
      </w:rPr>
      <w:t xml:space="preserve"> = editorial </w:t>
    </w:r>
    <w:r/>
  </w:p>
  <w:p>
    <w:pPr>
      <w:pStyle w:val="168"/>
      <w:jc w:val="right"/>
      <w:tabs>
        <w:tab w:val="clear" w:pos="4820" w:leader="none"/>
        <w:tab w:val="clear" w:pos="9639" w:leader="none"/>
      </w:tabs>
      <w:rPr>
        <w:rStyle w:val="172"/>
        <w:sz w:val="16"/>
      </w:rPr>
    </w:pPr>
    <w:r>
      <w:rPr>
        <w:rStyle w:val="172"/>
        <w:sz w:val="16"/>
        <w:lang w:val="en-US"/>
      </w:rPr>
      <w:t xml:space="preserve">page </w:t>
    </w:r>
    <w:r>
      <w:rPr>
        <w:rStyle w:val="172"/>
        <w:sz w:val="16"/>
        <w:lang w:val="en-US"/>
      </w:rPr>
      <w:fldChar w:fldCharType="begin"/>
    </w:r>
    <w:r>
      <w:rPr>
        <w:rStyle w:val="172"/>
        <w:sz w:val="16"/>
        <w:lang w:val="en-US"/>
      </w:rPr>
      <w:instrText xml:space="preserve"> PAGE </w:instrText>
    </w:r>
    <w:r>
      <w:rPr>
        <w:rStyle w:val="172"/>
        <w:sz w:val="16"/>
        <w:lang w:val="en-US"/>
      </w:rPr>
      <w:fldChar w:fldCharType="separate"/>
    </w:r>
    <w:r>
      <w:rPr>
        <w:rStyle w:val="172"/>
        <w:sz w:val="16"/>
        <w:lang w:val="en-US"/>
      </w:rPr>
      <w:t xml:space="preserve">1</w:t>
    </w:r>
    <w:r>
      <w:rPr>
        <w:rStyle w:val="172"/>
        <w:sz w:val="16"/>
        <w:lang w:val="en-US"/>
      </w:rPr>
      <w:fldChar w:fldCharType="end"/>
    </w:r>
    <w:r>
      <w:rPr>
        <w:rStyle w:val="172"/>
        <w:sz w:val="16"/>
        <w:lang w:val="en-US"/>
      </w:rPr>
      <w:t xml:space="preserve"> of </w:t>
    </w:r>
    <w:r>
      <w:rPr>
        <w:rStyle w:val="172"/>
        <w:sz w:val="16"/>
        <w:lang w:val="en-US"/>
      </w:rPr>
      <w:fldChar w:fldCharType="begin"/>
    </w:r>
    <w:r>
      <w:rPr>
        <w:rStyle w:val="172"/>
        <w:sz w:val="16"/>
        <w:lang w:val="en-US"/>
      </w:rPr>
      <w:instrText xml:space="preserve"> NUMPAGES </w:instrText>
    </w:r>
    <w:r>
      <w:rPr>
        <w:rStyle w:val="172"/>
        <w:sz w:val="16"/>
        <w:lang w:val="en-US"/>
      </w:rPr>
      <w:fldChar w:fldCharType="separate"/>
    </w:r>
    <w:r>
      <w:rPr>
        <w:rStyle w:val="172"/>
        <w:sz w:val="16"/>
        <w:lang w:val="en-US"/>
      </w:rPr>
      <w:t xml:space="preserve">1</w:t>
    </w:r>
    <w:r>
      <w:rPr>
        <w:rStyle w:val="172"/>
        <w:sz w:val="16"/>
        <w:lang w:val="en-US"/>
      </w:rPr>
      <w:fldChar w:fldCharType="end"/>
    </w:r>
    <w:r>
      <w:rPr>
        <w:rStyle w:val="172"/>
        <w:sz w:val="16"/>
      </w:rPr>
    </w:r>
    <w:r/>
  </w:p>
  <w:p>
    <w:pPr>
      <w:pStyle w:val="168"/>
      <w:jc w:val="left"/>
      <w:rPr>
        <w:rStyle w:val="172"/>
        <w:i/>
        <w:iCs/>
        <w:sz w:val="16"/>
      </w:rPr>
    </w:pPr>
    <w:r>
      <w:rPr>
        <w:rStyle w:val="172"/>
        <w:i/>
        <w:iCs/>
        <w:sz w:val="16"/>
      </w:rPr>
      <w:t xml:space="preserve">ISO</w:t>
    </w:r>
    <w:r>
      <w:rPr>
        <w:rStyle w:val="172"/>
        <w:i/>
        <w:iCs/>
        <w:sz w:val="16"/>
      </w:rPr>
      <w:t xml:space="preserve">/IEC</w:t>
    </w:r>
    <w:r>
      <w:rPr>
        <w:rStyle w:val="172"/>
        <w:i/>
        <w:iCs/>
        <w:sz w:val="16"/>
      </w:rPr>
      <w:t xml:space="preserve">/CEN/CENELEC</w:t>
    </w:r>
    <w:r>
      <w:rPr>
        <w:rStyle w:val="172"/>
        <w:i/>
        <w:iCs/>
        <w:sz w:val="16"/>
      </w:rPr>
      <w:t xml:space="preserve"> </w:t>
    </w:r>
    <w:r>
      <w:rPr>
        <w:rStyle w:val="172"/>
        <w:i/>
        <w:iCs/>
        <w:sz w:val="16"/>
      </w:rPr>
      <w:t xml:space="preserve"> electronic balloting</w:t>
    </w:r>
    <w:r>
      <w:rPr>
        <w:rStyle w:val="172"/>
        <w:i/>
        <w:iCs/>
        <w:sz w:val="16"/>
      </w:rPr>
      <w:t xml:space="preserve"> commenting template/version 20</w:t>
    </w:r>
    <w:r>
      <w:rPr>
        <w:rStyle w:val="172"/>
        <w:i/>
        <w:iCs/>
        <w:sz w:val="16"/>
      </w:rPr>
      <w:t xml:space="preserve">1</w:t>
    </w:r>
    <w:r>
      <w:rPr>
        <w:rStyle w:val="172"/>
        <w:i/>
        <w:iCs/>
        <w:sz w:val="16"/>
      </w:rPr>
      <w:t xml:space="preserve">2-</w:t>
    </w:r>
    <w:r>
      <w:rPr>
        <w:rStyle w:val="172"/>
        <w:i/>
        <w:iCs/>
        <w:sz w:val="16"/>
      </w:rPr>
      <w:t xml:space="preserve">0</w:t>
    </w:r>
    <w:r>
      <w:rPr>
        <w:rStyle w:val="172"/>
        <w:i/>
        <w:iCs/>
        <w:sz w:val="16"/>
      </w:rPr>
      <w:t xml:space="preserve">3</w:t>
    </w:r>
    <w:r>
      <w:rPr>
        <w:rStyle w:val="172"/>
        <w:i/>
        <w:iCs/>
        <w:sz w:val="16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8"/>
      <w:jc w:val="left"/>
      <w:spacing w:after="20" w:before="20"/>
      <w:tabs>
        <w:tab w:val="left" w:pos="284" w:leader="none"/>
        <w:tab w:val="left" w:pos="3969" w:leader="none"/>
        <w:tab w:val="clear" w:pos="4820" w:leader="none"/>
        <w:tab w:val="clear" w:pos="9639" w:leader="none"/>
      </w:tabs>
      <w:rPr>
        <w:rStyle w:val="172"/>
        <w:bCs/>
        <w:sz w:val="16"/>
      </w:rPr>
    </w:pPr>
    <w:r>
      <w:rPr>
        <w:rStyle w:val="172"/>
        <w:bCs/>
        <w:sz w:val="16"/>
      </w:rPr>
      <w:t xml:space="preserve">1</w:t>
      <w:tab/>
    </w:r>
    <w:r>
      <w:rPr>
        <w:rStyle w:val="172"/>
        <w:b/>
        <w:sz w:val="16"/>
      </w:rPr>
      <w:t xml:space="preserve">MB</w:t>
    </w:r>
    <w:r>
      <w:rPr>
        <w:rStyle w:val="172"/>
        <w:bCs/>
        <w:sz w:val="16"/>
      </w:rPr>
      <w:t xml:space="preserve"> = Member body (enter the ISO 3166 two-letter country code, e.g. CN for China)</w:t>
      <w:tab/>
    </w:r>
    <w:r>
      <w:rPr>
        <w:rStyle w:val="172"/>
        <w:b/>
        <w:sz w:val="16"/>
      </w:rPr>
      <w:t xml:space="preserve">**</w:t>
    </w:r>
    <w:r>
      <w:rPr>
        <w:rStyle w:val="172"/>
        <w:bCs/>
        <w:sz w:val="16"/>
      </w:rPr>
      <w:t xml:space="preserve"> = ISO/CS editing unit</w:t>
    </w:r>
    <w:r/>
  </w:p>
  <w:p>
    <w:pPr>
      <w:pStyle w:val="168"/>
      <w:jc w:val="left"/>
      <w:spacing w:after="20" w:before="20"/>
      <w:tabs>
        <w:tab w:val="left" w:pos="284" w:leader="none"/>
        <w:tab w:val="left" w:pos="1843" w:leader="none"/>
        <w:tab w:val="left" w:pos="2268" w:leader="none"/>
        <w:tab w:val="left" w:pos="3119" w:leader="none"/>
        <w:tab w:val="left" w:pos="4395" w:leader="none"/>
        <w:tab w:val="clear" w:pos="4820" w:leader="none"/>
        <w:tab w:val="clear" w:pos="9639" w:leader="none"/>
      </w:tabs>
      <w:rPr>
        <w:rStyle w:val="172"/>
        <w:bCs/>
        <w:sz w:val="16"/>
      </w:rPr>
    </w:pPr>
    <w:r>
      <w:rPr>
        <w:rStyle w:val="172"/>
        <w:sz w:val="16"/>
      </w:rPr>
      <w:t xml:space="preserve">2</w:t>
    </w:r>
    <w:r>
      <w:rPr>
        <w:rStyle w:val="172"/>
        <w:b/>
        <w:sz w:val="16"/>
      </w:rPr>
      <w:tab/>
      <w:t xml:space="preserve">Type of comment</w:t>
    </w:r>
    <w:r>
      <w:rPr>
        <w:rStyle w:val="172"/>
        <w:bCs/>
        <w:sz w:val="16"/>
      </w:rPr>
      <w:t xml:space="preserve">:</w:t>
      <w:tab/>
      <w:t xml:space="preserve">ge = general</w:t>
      <w:tab/>
      <w:t xml:space="preserve">te = technical </w:t>
      <w:tab/>
      <w:t xml:space="preserve">ed = editorial </w:t>
    </w:r>
    <w:r/>
  </w:p>
  <w:p>
    <w:pPr>
      <w:pStyle w:val="168"/>
      <w:jc w:val="left"/>
      <w:spacing w:after="20" w:before="20"/>
      <w:tabs>
        <w:tab w:val="left" w:pos="284" w:leader="none"/>
        <w:tab w:val="clear" w:pos="4820" w:leader="none"/>
        <w:tab w:val="clear" w:pos="9639" w:leader="none"/>
      </w:tabs>
      <w:rPr>
        <w:rStyle w:val="172"/>
        <w:bCs/>
        <w:sz w:val="16"/>
      </w:rPr>
    </w:pPr>
    <w:r>
      <w:rPr>
        <w:rStyle w:val="172"/>
        <w:b/>
        <w:sz w:val="16"/>
      </w:rPr>
      <w:t xml:space="preserve">NB</w:t>
    </w:r>
    <w:r>
      <w:rPr>
        <w:rStyle w:val="172"/>
        <w:bCs/>
        <w:sz w:val="16"/>
      </w:rPr>
      <w:tab/>
      <w:t xml:space="preserve">Columns 1, 2, 4, 5 are compulsory.</w:t>
    </w:r>
    <w:r/>
  </w:p>
  <w:p>
    <w:pPr>
      <w:pStyle w:val="168"/>
      <w:jc w:val="right"/>
      <w:tabs>
        <w:tab w:val="clear" w:pos="4820" w:leader="none"/>
        <w:tab w:val="clear" w:pos="9639" w:leader="none"/>
      </w:tabs>
      <w:rPr>
        <w:rStyle w:val="172"/>
        <w:sz w:val="16"/>
      </w:rPr>
    </w:pPr>
    <w:r>
      <w:rPr>
        <w:rStyle w:val="172"/>
        <w:sz w:val="16"/>
        <w:lang w:val="en-US"/>
      </w:rPr>
      <w:t xml:space="preserve">page </w:t>
    </w:r>
    <w:r>
      <w:rPr>
        <w:rStyle w:val="172"/>
        <w:sz w:val="16"/>
        <w:lang w:val="en-US"/>
      </w:rPr>
      <w:fldChar w:fldCharType="begin"/>
    </w:r>
    <w:r>
      <w:rPr>
        <w:rStyle w:val="172"/>
        <w:sz w:val="16"/>
        <w:lang w:val="en-US"/>
      </w:rPr>
      <w:instrText xml:space="preserve"> PAGE </w:instrText>
    </w:r>
    <w:r>
      <w:rPr>
        <w:rStyle w:val="172"/>
        <w:sz w:val="16"/>
        <w:lang w:val="en-US"/>
      </w:rPr>
      <w:fldChar w:fldCharType="separate"/>
    </w:r>
    <w:r>
      <w:rPr>
        <w:rStyle w:val="172"/>
        <w:sz w:val="16"/>
        <w:lang w:val="en-US"/>
      </w:rPr>
      <w:t xml:space="preserve">1</w:t>
    </w:r>
    <w:r>
      <w:rPr>
        <w:rStyle w:val="172"/>
        <w:sz w:val="16"/>
        <w:lang w:val="en-US"/>
      </w:rPr>
      <w:fldChar w:fldCharType="end"/>
    </w:r>
    <w:r>
      <w:rPr>
        <w:rStyle w:val="172"/>
        <w:sz w:val="16"/>
        <w:lang w:val="en-US"/>
      </w:rPr>
      <w:t xml:space="preserve"> of </w:t>
    </w:r>
    <w:r>
      <w:rPr>
        <w:rStyle w:val="172"/>
        <w:sz w:val="16"/>
        <w:lang w:val="en-US"/>
      </w:rPr>
      <w:fldChar w:fldCharType="begin"/>
    </w:r>
    <w:r>
      <w:rPr>
        <w:rStyle w:val="172"/>
        <w:sz w:val="16"/>
        <w:lang w:val="en-US"/>
      </w:rPr>
      <w:instrText xml:space="preserve"> NUMPAGES </w:instrText>
    </w:r>
    <w:r>
      <w:rPr>
        <w:rStyle w:val="172"/>
        <w:sz w:val="16"/>
        <w:lang w:val="en-US"/>
      </w:rPr>
      <w:fldChar w:fldCharType="separate"/>
    </w:r>
    <w:r>
      <w:rPr>
        <w:rStyle w:val="172"/>
        <w:sz w:val="16"/>
        <w:lang w:val="en-US"/>
      </w:rPr>
      <w:t xml:space="preserve">1</w:t>
    </w:r>
    <w:r>
      <w:rPr>
        <w:rStyle w:val="172"/>
        <w:sz w:val="16"/>
        <w:lang w:val="en-US"/>
      </w:rPr>
      <w:fldChar w:fldCharType="end"/>
    </w:r>
    <w:r>
      <w:rPr>
        <w:rStyle w:val="172"/>
        <w:sz w:val="16"/>
      </w:rPr>
    </w:r>
    <w:r/>
  </w:p>
  <w:p>
    <w:pPr>
      <w:pStyle w:val="168"/>
      <w:jc w:val="left"/>
      <w:rPr>
        <w:sz w:val="14"/>
      </w:rPr>
    </w:pPr>
    <w:r>
      <w:rPr>
        <w:rStyle w:val="172"/>
        <w:sz w:val="16"/>
      </w:rPr>
      <w:t xml:space="preserve">FORM 13B (ISO) version 2001-09</w:t>
    </w:r>
    <w:r>
      <w:rPr>
        <w:sz w:val="14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</w:p>
  </w:footnote>
  <w:footnote w:type="continuationSeparator" w:id="0">
    <w:p>
      <w:pPr>
        <w:spacing w:lineRule="auto" w:line="240" w:after="0"/>
      </w:pPr>
      <w:r/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5876" w:type="dxa"/>
      <w:jc w:val="center"/>
      <w:tblBorders>
        <w:left w:val="single" w:color="000000" w:sz="6" w:space="0"/>
        <w:top w:val="single" w:color="000000" w:sz="6" w:space="0"/>
        <w:right w:val="single" w:color="000000" w:sz="6" w:space="0"/>
        <w:bottom w:val="single" w:color="000000" w:sz="6" w:space="0"/>
        <w:insideV w:val="single" w:color="000000" w:sz="6" w:space="0"/>
        <w:insideH w:val="none" w:color="000000" w:sz="0" w:space="0"/>
      </w:tblBorders>
      <w:tblLayout w:type="fixed"/>
      <w:tblCellMar>
        <w:left w:w="99" w:type="dxa"/>
        <w:top w:w="0" w:type="dxa"/>
        <w:right w:w="99" w:type="dxa"/>
        <w:bottom w:w="0" w:type="dxa"/>
      </w:tblCellMar>
      <w:tblLook w:val="04A0" w:firstRow="1" w:lastRow="0" w:firstColumn="1" w:lastColumn="0" w:noHBand="0" w:noVBand="1"/>
    </w:tblPr>
    <w:tblGrid>
      <w:gridCol w:w="7740"/>
      <w:gridCol w:w="2410"/>
      <w:gridCol w:w="3119"/>
      <w:gridCol w:w="2607"/>
    </w:tblGrid>
    <w:tr>
      <w:trPr>
        <w:cantSplit/>
      </w:trPr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W w:w="7740" w:type="dxa"/>
          <w:vAlign w:val="top"/>
          <w:textDirection w:val="lrTb"/>
          <w:noWrap w:val="false"/>
        </w:tcPr>
        <w:p>
          <w:pPr>
            <w:pStyle w:val="174"/>
            <w:spacing w:after="60" w:before="60"/>
            <w:rPr>
              <w:b/>
            </w:rPr>
          </w:pPr>
          <w:r>
            <w:rPr>
              <w:b/>
            </w:rPr>
          </w:r>
          <w:r>
            <w:rPr>
              <w:b/>
            </w:rPr>
            <w:t xml:space="preserve">MB</w:t>
          </w:r>
          <w:r>
            <w:rPr>
              <w:b/>
            </w:rPr>
            <w:t xml:space="preserve"> comments on ISO/IEC</w:t>
          </w:r>
          <w:r>
            <w:rPr>
              <w:b/>
            </w:rPr>
            <w:t xml:space="preserve"> </w:t>
          </w:r>
          <w:r>
            <w:rPr>
              <w:b/>
            </w:rPr>
            <w:t xml:space="preserve">2</w:t>
          </w:r>
          <w:r>
            <w:rPr>
              <w:b/>
              <w:vertAlign w:val="superscript"/>
            </w:rPr>
            <w:t xml:space="preserve">nd</w:t>
          </w:r>
          <w:r>
            <w:rPr>
              <w:b/>
            </w:rPr>
            <w:t xml:space="preserve"> </w:t>
          </w:r>
          <w:r>
            <w:rPr>
              <w:b/>
            </w:rPr>
            <w:t xml:space="preserve">C</w:t>
          </w:r>
          <w:r>
            <w:rPr>
              <w:b/>
            </w:rPr>
            <w:t xml:space="preserve">D </w:t>
          </w:r>
          <w:r>
            <w:rPr>
              <w:b/>
            </w:rPr>
            <w:t xml:space="preserve">15408-1</w:t>
          </w:r>
          <w:r>
            <w:rPr>
              <w:b/>
            </w:rPr>
          </w:r>
          <w:r/>
        </w:p>
      </w:tc>
      <w:tc>
        <w:tcPr>
          <w:tcBorders>
            <w:left w:val="single" w:color="000000" w:sz="6" w:space="0"/>
            <w:top w:val="single" w:color="000000" w:sz="6" w:space="0"/>
            <w:bottom w:val="single" w:color="000000" w:sz="6" w:space="0"/>
          </w:tcBorders>
          <w:tcW w:w="2410" w:type="dxa"/>
          <w:vAlign w:val="top"/>
          <w:textDirection w:val="lrTb"/>
          <w:noWrap w:val="false"/>
        </w:tcPr>
        <w:p>
          <w:pPr>
            <w:pStyle w:val="175"/>
            <w:spacing w:after="60" w:before="60"/>
            <w:rPr>
              <w:bCs/>
            </w:rPr>
          </w:pPr>
          <w:r>
            <w:rPr>
              <w:bCs/>
            </w:rPr>
            <w:t xml:space="preserve">Date: </w:t>
          </w:r>
          <w:r>
            <w:rPr>
              <w:bCs/>
            </w:rPr>
            <w:t xml:space="preserve">201</w:t>
          </w:r>
          <w:r>
            <w:rPr>
              <w:bCs/>
            </w:rPr>
            <w:t xml:space="preserve">9</w:t>
          </w:r>
          <w:r>
            <w:rPr>
              <w:bCs/>
            </w:rPr>
            <w:t xml:space="preserve">-mm-dd</w:t>
          </w:r>
          <w:r>
            <w:rPr>
              <w:bCs/>
            </w:rPr>
          </w:r>
          <w:r/>
        </w:p>
      </w:tc>
      <w:tc>
        <w:tcPr>
          <w:tcBorders>
            <w:top w:val="single" w:color="000000" w:sz="6" w:space="0"/>
            <w:bottom w:val="single" w:color="000000" w:sz="6" w:space="0"/>
          </w:tcBorders>
          <w:tcW w:w="3119" w:type="dxa"/>
          <w:vAlign w:val="top"/>
          <w:textDirection w:val="lrTb"/>
          <w:noWrap w:val="false"/>
        </w:tcPr>
        <w:p>
          <w:pPr>
            <w:pStyle w:val="176"/>
            <w:spacing w:after="60" w:before="60"/>
            <w:rPr>
              <w:bCs/>
              <w:sz w:val="20"/>
            </w:rPr>
          </w:pPr>
          <w:r>
            <w:rPr>
              <w:bCs/>
            </w:rPr>
            <w:t xml:space="preserve">Document:</w:t>
          </w:r>
          <w:r>
            <w:rPr>
              <w:b/>
              <w:sz w:val="20"/>
            </w:rPr>
            <w:t xml:space="preserve"> </w:t>
          </w:r>
          <w:r>
            <w:rPr>
              <w:b/>
              <w:sz w:val="20"/>
            </w:rPr>
            <w:t xml:space="preserve">N1</w:t>
          </w:r>
          <w:r>
            <w:rPr>
              <w:b/>
              <w:sz w:val="20"/>
            </w:rPr>
            <w:t xml:space="preserve">8</w:t>
          </w:r>
          <w:r>
            <w:rPr>
              <w:b/>
              <w:sz w:val="20"/>
            </w:rPr>
            <w:t xml:space="preserve">8</w:t>
          </w:r>
          <w:r>
            <w:rPr>
              <w:b/>
              <w:sz w:val="20"/>
            </w:rPr>
            <w:t xml:space="preserve">0</w:t>
          </w:r>
          <w:r>
            <w:rPr>
              <w:b/>
              <w:sz w:val="20"/>
            </w:rPr>
            <w:t xml:space="preserve">3</w:t>
          </w:r>
          <w:r>
            <w:rPr>
              <w:bCs/>
              <w:sz w:val="20"/>
            </w:rPr>
          </w:r>
          <w:r/>
        </w:p>
      </w:tc>
      <w:tc>
        <w:tcPr>
          <w:tcBorders>
            <w:top w:val="single" w:color="000000" w:sz="6" w:space="0"/>
            <w:bottom w:val="single" w:color="000000" w:sz="6" w:space="0"/>
          </w:tcBorders>
          <w:tcW w:w="2607" w:type="dxa"/>
          <w:vAlign w:val="top"/>
          <w:textDirection w:val="lrTb"/>
          <w:noWrap w:val="false"/>
        </w:tcPr>
        <w:p>
          <w:pPr>
            <w:pStyle w:val="176"/>
            <w:spacing w:after="60" w:before="60"/>
            <w:rPr>
              <w:bCs/>
              <w:sz w:val="20"/>
            </w:rPr>
          </w:pPr>
          <w:r>
            <w:rPr>
              <w:bCs/>
              <w:sz w:val="20"/>
            </w:rPr>
            <w:t xml:space="preserve">Project:</w:t>
          </w:r>
          <w:r>
            <w:rPr>
              <w:bCs/>
              <w:sz w:val="20"/>
            </w:rPr>
            <w:t xml:space="preserve"> 1.27.16.01</w:t>
          </w:r>
          <w:r>
            <w:rPr>
              <w:bCs/>
              <w:sz w:val="20"/>
            </w:rPr>
          </w:r>
          <w:r/>
        </w:p>
        <w:p>
          <w:pPr>
            <w:pStyle w:val="176"/>
            <w:spacing w:after="60" w:before="60"/>
            <w:rPr>
              <w:bCs/>
              <w:sz w:val="20"/>
            </w:rPr>
          </w:pPr>
          <w:r>
            <w:rPr>
              <w:bCs/>
              <w:sz w:val="20"/>
            </w:rPr>
            <w:t xml:space="preserve">(</w:t>
          </w:r>
          <w:r>
            <w:rPr>
              <w:bCs/>
              <w:sz w:val="20"/>
            </w:rPr>
            <w:t xml:space="preserve">ISO/IEC</w:t>
          </w:r>
          <w:r>
            <w:rPr>
              <w:bCs/>
              <w:sz w:val="20"/>
            </w:rPr>
            <w:t xml:space="preserve"> </w:t>
          </w:r>
          <w:r>
            <w:rPr>
              <w:bCs/>
              <w:sz w:val="20"/>
            </w:rPr>
            <w:t xml:space="preserve">15408-</w:t>
          </w:r>
          <w:r>
            <w:rPr>
              <w:bCs/>
              <w:sz w:val="20"/>
            </w:rPr>
            <w:t xml:space="preserve">1</w:t>
          </w:r>
          <w:r>
            <w:rPr>
              <w:bCs/>
              <w:sz w:val="20"/>
            </w:rPr>
            <w:t xml:space="preserve">,</w:t>
          </w:r>
          <w:r>
            <w:rPr>
              <w:bCs/>
              <w:sz w:val="20"/>
            </w:rPr>
            <w:t xml:space="preserve"> revision)</w:t>
          </w:r>
          <w:r>
            <w:rPr>
              <w:bCs/>
              <w:sz w:val="20"/>
            </w:rPr>
          </w:r>
          <w:r/>
        </w:p>
      </w:tc>
    </w:tr>
  </w:tbl>
  <w:p>
    <w:pPr>
      <w:pStyle w:val="167"/>
    </w:pPr>
    <w:r/>
    <w:r/>
  </w:p>
  <w:tbl>
    <w:tblPr>
      <w:tblW w:w="15876" w:type="dxa"/>
      <w:jc w:val="center"/>
      <w:tblBorders>
        <w:left w:val="single" w:color="000000" w:sz="6" w:space="0"/>
        <w:top w:val="single" w:color="000000" w:sz="6" w:space="0"/>
        <w:right w:val="single" w:color="000000" w:sz="6" w:space="0"/>
        <w:bottom w:val="single" w:color="000000" w:sz="6" w:space="0"/>
        <w:insideV w:val="single" w:color="000000" w:sz="6" w:space="0"/>
        <w:insideH w:val="single" w:color="000000" w:sz="6" w:space="0"/>
      </w:tblBorders>
      <w:tblLayout w:type="fixed"/>
      <w:tblCellMar>
        <w:left w:w="99" w:type="dxa"/>
        <w:top w:w="0" w:type="dxa"/>
        <w:right w:w="99" w:type="dxa"/>
        <w:bottom w:w="0" w:type="dxa"/>
      </w:tblCellMar>
      <w:tblLook w:val="04A0" w:firstRow="1" w:lastRow="0" w:firstColumn="1" w:lastColumn="0" w:noHBand="0" w:noVBand="1"/>
    </w:tblPr>
    <w:tblGrid>
      <w:gridCol w:w="606"/>
      <w:gridCol w:w="908"/>
      <w:gridCol w:w="1209"/>
      <w:gridCol w:w="1209"/>
      <w:gridCol w:w="1115"/>
      <w:gridCol w:w="4177"/>
      <w:gridCol w:w="4233"/>
      <w:gridCol w:w="2419"/>
    </w:tblGrid>
    <w:tr>
      <w:trPr>
        <w:cantSplit/>
      </w:trPr>
      <w:tc>
        <w:tcPr>
          <w:tcW w:w="606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MB</w:t>
          </w:r>
          <w:r>
            <w:rPr>
              <w:b/>
              <w:sz w:val="16"/>
            </w:rPr>
            <w:t xml:space="preserve">/N</w:t>
          </w:r>
          <w:r>
            <w:rPr>
              <w:b/>
              <w:sz w:val="16"/>
            </w:rPr>
            <w:t xml:space="preserve">C</w:t>
          </w:r>
          <w:r>
            <w:rPr>
              <w:b/>
              <w:bCs/>
              <w:position w:val="6"/>
              <w:sz w:val="12"/>
            </w:rPr>
            <w:t xml:space="preserve">1</w:t>
          </w:r>
          <w:r>
            <w:rPr>
              <w:b/>
              <w:sz w:val="16"/>
            </w:rPr>
          </w:r>
          <w:r/>
        </w:p>
      </w:tc>
      <w:tc>
        <w:tcPr>
          <w:tcW w:w="908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Line number</w:t>
          </w:r>
          <w:r/>
        </w:p>
        <w:p>
          <w:pPr>
            <w:pStyle w:val="159"/>
            <w:jc w:val="center"/>
            <w:keepLines/>
            <w:spacing w:lineRule="exact" w:line="190" w:after="60"/>
            <w:rPr>
              <w:b/>
              <w:sz w:val="16"/>
            </w:rPr>
          </w:pPr>
          <w:r>
            <w:rPr>
              <w:bCs/>
              <w:sz w:val="16"/>
            </w:rPr>
            <w:t xml:space="preserve">(e.g. 17)</w:t>
          </w:r>
          <w:r>
            <w:rPr>
              <w:b/>
              <w:sz w:val="16"/>
            </w:rPr>
          </w:r>
          <w:r/>
        </w:p>
      </w:tc>
      <w:tc>
        <w:tcPr>
          <w:tcW w:w="1209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Clause/</w:t>
          </w:r>
          <w:r>
            <w:rPr>
              <w:b/>
              <w:sz w:val="16"/>
              <w:szCs w:val="16"/>
            </w:rPr>
            <w:t xml:space="preserve"> </w:t>
          </w:r>
          <w:r>
            <w:rPr>
              <w:b/>
              <w:sz w:val="16"/>
              <w:szCs w:val="16"/>
            </w:rPr>
            <w:t xml:space="preserve">Subclause</w:t>
          </w:r>
          <w:r>
            <w:rPr>
              <w:b/>
              <w:sz w:val="16"/>
              <w:szCs w:val="16"/>
            </w:rPr>
          </w:r>
          <w:r/>
        </w:p>
        <w:p>
          <w:pPr>
            <w:pStyle w:val="159"/>
            <w:jc w:val="center"/>
            <w:keepLines/>
            <w:spacing w:lineRule="exact" w:line="190" w:after="60"/>
            <w:rPr>
              <w:b/>
              <w:sz w:val="16"/>
              <w:szCs w:val="16"/>
            </w:rPr>
          </w:pPr>
          <w:r>
            <w:rPr>
              <w:bCs/>
              <w:sz w:val="16"/>
            </w:rPr>
            <w:t xml:space="preserve">(e.g. 3.1)</w:t>
          </w:r>
          <w:r>
            <w:rPr>
              <w:b/>
              <w:sz w:val="16"/>
              <w:szCs w:val="16"/>
            </w:rPr>
          </w:r>
          <w:r/>
        </w:p>
      </w:tc>
      <w:tc>
        <w:tcPr>
          <w:tcW w:w="1209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before="10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Paragraph/</w:t>
          </w:r>
          <w:r>
            <w:rPr>
              <w:b/>
              <w:sz w:val="16"/>
              <w:szCs w:val="16"/>
            </w:rPr>
            <w:t xml:space="preserve"> </w:t>
          </w:r>
          <w:r>
            <w:rPr>
              <w:b/>
              <w:sz w:val="16"/>
              <w:szCs w:val="16"/>
            </w:rPr>
            <w:t xml:space="preserve">Figure/</w:t>
          </w:r>
          <w:r>
            <w:rPr>
              <w:b/>
              <w:sz w:val="16"/>
              <w:szCs w:val="16"/>
            </w:rPr>
            <w:t xml:space="preserve"> </w:t>
          </w:r>
          <w:r>
            <w:rPr>
              <w:b/>
              <w:sz w:val="16"/>
              <w:szCs w:val="16"/>
            </w:rPr>
            <w:t xml:space="preserve">Table/</w:t>
          </w:r>
          <w:r>
            <w:rPr>
              <w:b/>
              <w:sz w:val="16"/>
              <w:szCs w:val="16"/>
            </w:rPr>
          </w:r>
          <w:r/>
        </w:p>
        <w:p>
          <w:pPr>
            <w:pStyle w:val="159"/>
            <w:jc w:val="center"/>
            <w:keepLines/>
            <w:spacing w:lineRule="exact" w:line="190" w:after="60"/>
            <w:rPr>
              <w:b/>
              <w:sz w:val="16"/>
              <w:szCs w:val="16"/>
            </w:rPr>
          </w:pPr>
          <w:r>
            <w:rPr>
              <w:bCs/>
              <w:sz w:val="16"/>
            </w:rPr>
            <w:t xml:space="preserve">(e.g. Table 1)</w:t>
          </w:r>
          <w:r>
            <w:rPr>
              <w:b/>
              <w:sz w:val="16"/>
              <w:szCs w:val="16"/>
            </w:rPr>
          </w:r>
          <w:r/>
        </w:p>
      </w:tc>
      <w:tc>
        <w:tcPr>
          <w:tcW w:w="1115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Type of comment</w:t>
          </w:r>
          <w:r>
            <w:rPr>
              <w:b/>
              <w:bCs/>
              <w:position w:val="6"/>
              <w:sz w:val="12"/>
            </w:rPr>
            <w:t xml:space="preserve">2</w:t>
          </w:r>
          <w:r>
            <w:rPr>
              <w:b/>
              <w:sz w:val="16"/>
            </w:rPr>
          </w:r>
          <w:r/>
        </w:p>
      </w:tc>
      <w:tc>
        <w:tcPr>
          <w:tcW w:w="4177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Comment</w:t>
          </w:r>
          <w:r>
            <w:rPr>
              <w:b/>
              <w:sz w:val="16"/>
            </w:rPr>
            <w:t xml:space="preserve">s</w:t>
          </w:r>
          <w:r>
            <w:rPr>
              <w:b/>
              <w:sz w:val="16"/>
            </w:rPr>
          </w:r>
          <w:r/>
        </w:p>
      </w:tc>
      <w:tc>
        <w:tcPr>
          <w:tcW w:w="4233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Proposed change</w:t>
          </w:r>
          <w:r/>
        </w:p>
      </w:tc>
      <w:tc>
        <w:tcPr>
          <w:tcW w:w="2419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Observations of the secretariat</w:t>
          </w:r>
          <w:r>
            <w:rPr>
              <w:b/>
              <w:sz w:val="16"/>
            </w:rPr>
          </w:r>
          <w:r/>
        </w:p>
      </w:tc>
    </w:tr>
  </w:tbl>
  <w:p>
    <w:pPr>
      <w:pStyle w:val="167"/>
      <w:rPr>
        <w:sz w:val="2"/>
      </w:rPr>
    </w:pPr>
    <w:r>
      <w:rPr>
        <w:sz w:val="2"/>
      </w:rPr>
    </w:r>
    <w:r/>
  </w:p>
  <w:p>
    <w:pPr>
      <w:pStyle w:val="167"/>
      <w:spacing w:lineRule="exact" w:line="14"/>
      <w:rPr>
        <w:sz w:val="4"/>
      </w:rPr>
    </w:pPr>
    <w:r>
      <w:rPr>
        <w:sz w:val="4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5840" w:type="dxa"/>
      <w:jc w:val="center"/>
      <w:tblInd w:w="404" w:type="dxa"/>
      <w:tblBorders>
        <w:left w:val="single" w:color="000000" w:sz="6" w:space="0"/>
        <w:top w:val="single" w:color="000000" w:sz="6" w:space="0"/>
        <w:right w:val="single" w:color="000000" w:sz="6" w:space="0"/>
        <w:bottom w:val="single" w:color="000000" w:sz="6" w:space="0"/>
        <w:insideV w:val="single" w:color="000000" w:sz="6" w:space="0"/>
        <w:insideH w:val="none" w:color="000000" w:sz="0" w:space="0"/>
      </w:tblBorders>
      <w:tblLayout w:type="fixed"/>
      <w:tblCellMar>
        <w:left w:w="99" w:type="dxa"/>
        <w:top w:w="0" w:type="dxa"/>
        <w:right w:w="99" w:type="dxa"/>
        <w:bottom w:w="0" w:type="dxa"/>
      </w:tblCellMar>
      <w:tblLook w:val="04A0" w:firstRow="1" w:lastRow="0" w:firstColumn="1" w:lastColumn="0" w:noHBand="0" w:noVBand="1"/>
    </w:tblPr>
    <w:tblGrid>
      <w:gridCol w:w="8572"/>
      <w:gridCol w:w="2080"/>
      <w:gridCol w:w="5188"/>
    </w:tblGrid>
    <w:tr>
      <w:trPr>
        <w:cantSplit/>
      </w:trPr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W w:w="8572" w:type="dxa"/>
          <w:vAlign w:val="top"/>
          <w:textDirection w:val="lrTb"/>
          <w:noWrap w:val="false"/>
        </w:tcPr>
        <w:p>
          <w:pPr>
            <w:pStyle w:val="174"/>
            <w:spacing w:after="60" w:before="60"/>
          </w:pPr>
          <w:r>
            <w:rPr>
              <w:rStyle w:val="177"/>
              <w:b/>
              <w:bCs/>
              <w:color w:val="000000"/>
              <w:sz w:val="22"/>
            </w:rPr>
            <w:t xml:space="preserve">Template for comments and secretariat observations</w:t>
          </w:r>
          <w:r/>
        </w:p>
      </w:tc>
      <w:tc>
        <w:tcPr>
          <w:tcBorders>
            <w:left w:val="single" w:color="000000" w:sz="6" w:space="0"/>
            <w:top w:val="single" w:color="000000" w:sz="6" w:space="0"/>
            <w:bottom w:val="single" w:color="000000" w:sz="6" w:space="0"/>
          </w:tcBorders>
          <w:tcW w:w="2080" w:type="dxa"/>
          <w:vAlign w:val="top"/>
          <w:textDirection w:val="lrTb"/>
          <w:noWrap w:val="false"/>
        </w:tcPr>
        <w:p>
          <w:pPr>
            <w:pStyle w:val="175"/>
            <w:spacing w:after="60" w:before="60"/>
            <w:rPr>
              <w:bCs/>
            </w:rPr>
          </w:pPr>
          <w:r>
            <w:rPr>
              <w:bCs/>
            </w:rPr>
            <w:t xml:space="preserve">Date: </w:t>
          </w:r>
          <w:r/>
        </w:p>
      </w:tc>
      <w:tc>
        <w:tcPr>
          <w:tcBorders>
            <w:top w:val="single" w:color="000000" w:sz="6" w:space="0"/>
            <w:bottom w:val="single" w:color="000000" w:sz="6" w:space="0"/>
          </w:tcBorders>
          <w:tcW w:w="5188" w:type="dxa"/>
          <w:vAlign w:val="top"/>
          <w:textDirection w:val="lrTb"/>
          <w:noWrap w:val="false"/>
        </w:tcPr>
        <w:p>
          <w:pPr>
            <w:pStyle w:val="176"/>
            <w:spacing w:after="60" w:before="60"/>
            <w:rPr>
              <w:bCs/>
            </w:rPr>
          </w:pPr>
          <w:r>
            <w:rPr>
              <w:bCs/>
            </w:rPr>
            <w:t xml:space="preserve">Document:</w:t>
          </w:r>
          <w:r>
            <w:rPr>
              <w:b/>
            </w:rPr>
            <w:t xml:space="preserve"> </w:t>
          </w:r>
          <w:r>
            <w:rPr>
              <w:b/>
              <w:sz w:val="20"/>
            </w:rPr>
            <w:t xml:space="preserve">ISO/</w:t>
          </w:r>
          <w:r>
            <w:rPr>
              <w:bCs/>
            </w:rPr>
          </w:r>
          <w:r/>
        </w:p>
      </w:tc>
    </w:tr>
  </w:tbl>
  <w:p>
    <w:pPr>
      <w:pStyle w:val="167"/>
    </w:pPr>
    <w:r/>
    <w:r/>
  </w:p>
  <w:tbl>
    <w:tblPr>
      <w:tblW w:w="0" w:type="auto"/>
      <w:jc w:val="center"/>
      <w:tblBorders>
        <w:left w:val="single" w:color="000000" w:sz="6" w:space="0"/>
        <w:top w:val="single" w:color="000000" w:sz="6" w:space="0"/>
        <w:right w:val="single" w:color="000000" w:sz="6" w:space="0"/>
        <w:bottom w:val="single" w:color="000000" w:sz="6" w:space="0"/>
        <w:insideV w:val="single" w:color="000000" w:sz="6" w:space="0"/>
        <w:insideH w:val="single" w:color="000000" w:sz="6" w:space="0"/>
      </w:tblBorders>
      <w:tblLayout w:type="fixed"/>
      <w:tblCellMar>
        <w:left w:w="99" w:type="dxa"/>
        <w:top w:w="0" w:type="dxa"/>
        <w:right w:w="99" w:type="dxa"/>
        <w:bottom w:w="0" w:type="dxa"/>
      </w:tblCellMar>
      <w:tblLook w:val="04A0" w:firstRow="1" w:lastRow="0" w:firstColumn="1" w:lastColumn="0" w:noHBand="0" w:noVBand="1"/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cW w:w="539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1</w:t>
          </w:r>
          <w:r/>
        </w:p>
      </w:tc>
      <w:tc>
        <w:tcPr>
          <w:tcW w:w="1814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2</w:t>
          </w:r>
          <w:r/>
        </w:p>
      </w:tc>
      <w:tc>
        <w:tcPr>
          <w:tcW w:w="1134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3</w:t>
          </w:r>
          <w:r/>
        </w:p>
      </w:tc>
      <w:tc>
        <w:tcPr>
          <w:tcW w:w="709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4</w:t>
          </w:r>
          <w:r/>
        </w:p>
      </w:tc>
      <w:tc>
        <w:tcPr>
          <w:tcW w:w="4394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5</w:t>
          </w:r>
          <w:r/>
        </w:p>
      </w:tc>
      <w:tc>
        <w:tcPr>
          <w:tcW w:w="3828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6</w:t>
          </w:r>
          <w:r/>
        </w:p>
      </w:tc>
      <w:tc>
        <w:tcPr>
          <w:tcW w:w="3459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7</w:t>
          </w:r>
          <w:r/>
        </w:p>
      </w:tc>
    </w:tr>
    <w:tr>
      <w:trPr>
        <w:cantSplit/>
      </w:trPr>
      <w:tc>
        <w:tcPr>
          <w:tcW w:w="539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MB</w:t>
          </w:r>
          <w:r>
            <w:rPr>
              <w:b/>
              <w:bCs/>
              <w:position w:val="6"/>
              <w:sz w:val="12"/>
            </w:rPr>
            <w:t xml:space="preserve">1</w:t>
          </w:r>
          <w:r>
            <w:rPr>
              <w:b/>
              <w:sz w:val="16"/>
            </w:rPr>
            <w:br/>
          </w:r>
          <w:r/>
        </w:p>
      </w:tc>
      <w:tc>
        <w:tcPr>
          <w:tcW w:w="1814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Claus</w:t>
          </w:r>
          <w:r>
            <w:rPr>
              <w:b/>
              <w:spacing w:val="20"/>
              <w:sz w:val="16"/>
            </w:rPr>
            <w:t xml:space="preserve">e/</w:t>
          </w:r>
          <w:r>
            <w:rPr>
              <w:b/>
              <w:sz w:val="16"/>
            </w:rPr>
            <w:br/>
            <w:t xml:space="preserve">Subclause/</w:t>
            <w:br/>
            <w:t xml:space="preserve">Annex/Figure/Table</w:t>
            <w:br/>
          </w:r>
          <w:r>
            <w:rPr>
              <w:bCs/>
              <w:sz w:val="16"/>
            </w:rPr>
            <w:t xml:space="preserve">(e.g. 3.1, Table 2)</w:t>
          </w:r>
          <w:r>
            <w:rPr>
              <w:b/>
              <w:sz w:val="16"/>
            </w:rPr>
          </w:r>
          <w:r/>
        </w:p>
      </w:tc>
      <w:tc>
        <w:tcPr>
          <w:tcW w:w="1134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Paragraph/</w:t>
            <w:br/>
            <w:t xml:space="preserve">List item/</w:t>
            <w:br/>
            <w:t xml:space="preserve">Note/</w:t>
            <w:br/>
          </w:r>
          <w:r>
            <w:rPr>
              <w:bCs/>
              <w:sz w:val="16"/>
            </w:rPr>
            <w:t xml:space="preserve">(e.g. Note 2)</w:t>
          </w:r>
          <w:r>
            <w:rPr>
              <w:b/>
              <w:sz w:val="16"/>
            </w:rPr>
          </w:r>
          <w:r/>
        </w:p>
      </w:tc>
      <w:tc>
        <w:tcPr>
          <w:tcW w:w="709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Type of com-ment</w:t>
          </w:r>
          <w:r>
            <w:rPr>
              <w:b/>
              <w:bCs/>
              <w:position w:val="6"/>
              <w:sz w:val="12"/>
            </w:rPr>
            <w:t xml:space="preserve">2</w:t>
          </w:r>
          <w:r>
            <w:rPr>
              <w:b/>
              <w:sz w:val="16"/>
            </w:rPr>
          </w:r>
          <w:r/>
        </w:p>
      </w:tc>
      <w:tc>
        <w:tcPr>
          <w:tcW w:w="4394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Comment (justification for change)</w:t>
          </w:r>
          <w:r/>
        </w:p>
      </w:tc>
      <w:tc>
        <w:tcPr>
          <w:tcW w:w="3828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Proposed change</w:t>
          </w:r>
          <w:r/>
        </w:p>
      </w:tc>
      <w:tc>
        <w:tcPr>
          <w:tcW w:w="3459" w:type="dxa"/>
          <w:vAlign w:val="top"/>
          <w:textDirection w:val="lrTb"/>
          <w:noWrap w:val="false"/>
        </w:tcPr>
        <w:p>
          <w:pPr>
            <w:pStyle w:val="159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Secretariat observations</w:t>
            <w:br/>
          </w:r>
          <w:r>
            <w:rPr>
              <w:bCs/>
              <w:sz w:val="16"/>
            </w:rPr>
            <w:t xml:space="preserve">on each comment submitted</w:t>
          </w:r>
          <w:r>
            <w:rPr>
              <w:b/>
              <w:sz w:val="16"/>
            </w:rPr>
          </w:r>
          <w:r/>
        </w:p>
      </w:tc>
    </w:tr>
  </w:tbl>
  <w:p>
    <w:pPr>
      <w:pStyle w:val="167"/>
      <w:rPr>
        <w:sz w:val="2"/>
      </w:rPr>
    </w:pPr>
    <w:r>
      <w:rPr>
        <w:sz w:val="2"/>
      </w:rPr>
    </w:r>
    <w:r/>
  </w:p>
  <w:p>
    <w:pPr>
      <w:pStyle w:val="167"/>
      <w:rPr>
        <w:sz w:val="2"/>
      </w:rPr>
    </w:pPr>
    <w:r>
      <w:rPr>
        <w:sz w:val="2"/>
      </w:rPr>
    </w:r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851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table" w:styleId="44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Lined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6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7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8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9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0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1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2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3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4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5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7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8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9">
    <w:name w:val="Bordered &amp; Lined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1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2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63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4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5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66">
    <w:name w:val="Hyperlink"/>
    <w:uiPriority w:val="99"/>
    <w:unhideWhenUsed/>
    <w:rPr>
      <w:color w:val="0000FF" w:themeColor="hyperlink"/>
      <w:u w:val="single"/>
    </w:rPr>
  </w:style>
  <w:style w:type="paragraph" w:styleId="67">
    <w:name w:val="footnote text"/>
    <w:basedOn w:val="8"/>
    <w:link w:val="68"/>
    <w:uiPriority w:val="99"/>
    <w:semiHidden/>
    <w:unhideWhenUsed/>
    <w:rPr>
      <w:sz w:val="18"/>
    </w:rPr>
    <w:pPr>
      <w:spacing w:lineRule="auto" w:line="240" w:after="40"/>
    </w:pPr>
  </w:style>
  <w:style w:type="character" w:styleId="68">
    <w:name w:val="Footnote Text Char"/>
    <w:link w:val="67"/>
    <w:uiPriority w:val="99"/>
    <w:rPr>
      <w:sz w:val="18"/>
    </w:rPr>
  </w:style>
  <w:style w:type="character" w:styleId="69">
    <w:name w:val="footnote reference"/>
    <w:basedOn w:val="9"/>
    <w:uiPriority w:val="99"/>
    <w:unhideWhenUsed/>
    <w:rPr>
      <w:vertAlign w:val="superscript"/>
    </w:rPr>
  </w:style>
  <w:style w:type="paragraph" w:styleId="70">
    <w:name w:val="toc 1"/>
    <w:basedOn w:val="8"/>
    <w:next w:val="8"/>
    <w:uiPriority w:val="39"/>
    <w:unhideWhenUsed/>
    <w:pPr>
      <w:ind w:left="0" w:right="0" w:hanging="0"/>
      <w:spacing w:after="57"/>
    </w:pPr>
  </w:style>
  <w:style w:type="paragraph" w:styleId="71">
    <w:name w:val="toc 2"/>
    <w:basedOn w:val="8"/>
    <w:next w:val="8"/>
    <w:uiPriority w:val="39"/>
    <w:unhideWhenUsed/>
    <w:pPr>
      <w:ind w:left="283" w:right="0" w:hanging="0"/>
      <w:spacing w:after="57"/>
    </w:pPr>
  </w:style>
  <w:style w:type="paragraph" w:styleId="72">
    <w:name w:val="toc 3"/>
    <w:basedOn w:val="8"/>
    <w:next w:val="8"/>
    <w:uiPriority w:val="39"/>
    <w:unhideWhenUsed/>
    <w:pPr>
      <w:ind w:left="567" w:right="0" w:hanging="0"/>
      <w:spacing w:after="57"/>
    </w:pPr>
  </w:style>
  <w:style w:type="paragraph" w:styleId="73">
    <w:name w:val="toc 4"/>
    <w:basedOn w:val="8"/>
    <w:next w:val="8"/>
    <w:uiPriority w:val="39"/>
    <w:unhideWhenUsed/>
    <w:pPr>
      <w:ind w:left="850" w:right="0" w:hanging="0"/>
      <w:spacing w:after="57"/>
    </w:pPr>
  </w:style>
  <w:style w:type="paragraph" w:styleId="74">
    <w:name w:val="toc 5"/>
    <w:basedOn w:val="8"/>
    <w:next w:val="8"/>
    <w:uiPriority w:val="39"/>
    <w:unhideWhenUsed/>
    <w:pPr>
      <w:ind w:left="1134" w:right="0" w:hanging="0"/>
      <w:spacing w:after="57"/>
    </w:pPr>
  </w:style>
  <w:style w:type="paragraph" w:styleId="75">
    <w:name w:val="toc 6"/>
    <w:basedOn w:val="8"/>
    <w:next w:val="8"/>
    <w:uiPriority w:val="39"/>
    <w:unhideWhenUsed/>
    <w:pPr>
      <w:ind w:left="1417" w:right="0" w:hanging="0"/>
      <w:spacing w:after="57"/>
    </w:pPr>
  </w:style>
  <w:style w:type="paragraph" w:styleId="76">
    <w:name w:val="toc 7"/>
    <w:basedOn w:val="8"/>
    <w:next w:val="8"/>
    <w:uiPriority w:val="39"/>
    <w:unhideWhenUsed/>
    <w:pPr>
      <w:ind w:left="1701" w:right="0" w:hanging="0"/>
      <w:spacing w:after="57"/>
    </w:pPr>
  </w:style>
  <w:style w:type="paragraph" w:styleId="77">
    <w:name w:val="toc 8"/>
    <w:basedOn w:val="8"/>
    <w:next w:val="8"/>
    <w:uiPriority w:val="39"/>
    <w:unhideWhenUsed/>
    <w:pPr>
      <w:ind w:left="1984" w:right="0" w:hanging="0"/>
      <w:spacing w:after="57"/>
    </w:pPr>
  </w:style>
  <w:style w:type="paragraph" w:styleId="78">
    <w:name w:val="toc 9"/>
    <w:basedOn w:val="8"/>
    <w:next w:val="8"/>
    <w:uiPriority w:val="39"/>
    <w:unhideWhenUsed/>
    <w:pPr>
      <w:ind w:left="2268" w:right="0" w:hanging="0"/>
      <w:spacing w:after="57"/>
    </w:pPr>
  </w:style>
  <w:style w:type="paragraph" w:styleId="79">
    <w:name w:val="TOC Heading"/>
    <w:uiPriority w:val="39"/>
    <w:unhideWhenUsed/>
  </w:style>
  <w:style w:type="paragraph" w:styleId="159">
    <w:name w:val="Standard"/>
    <w:next w:val="159"/>
    <w:link w:val="159"/>
    <w:rPr>
      <w:rFonts w:ascii="Arial" w:hAnsi="Arial"/>
      <w:sz w:val="22"/>
      <w:lang w:val="en-GB" w:bidi="ar-SA" w:eastAsia="en-US"/>
    </w:rPr>
    <w:pPr>
      <w:jc w:val="both"/>
    </w:pPr>
  </w:style>
  <w:style w:type="paragraph" w:styleId="160">
    <w:name w:val="Überschrift 1"/>
    <w:basedOn w:val="159"/>
    <w:next w:val="159"/>
    <w:link w:val="159"/>
    <w:rPr>
      <w:b/>
      <w:sz w:val="24"/>
    </w:rPr>
    <w:pPr>
      <w:keepNext/>
      <w:spacing w:after="200" w:before="120"/>
      <w:outlineLvl w:val="0"/>
    </w:pPr>
  </w:style>
  <w:style w:type="paragraph" w:styleId="161">
    <w:name w:val="Überschrift 2"/>
    <w:basedOn w:val="160"/>
    <w:next w:val="159"/>
    <w:link w:val="159"/>
    <w:rPr>
      <w:sz w:val="22"/>
    </w:rPr>
    <w:pPr>
      <w:ind w:left="567" w:hanging="566"/>
      <w:spacing w:before="0"/>
      <w:outlineLvl w:val="1"/>
    </w:pPr>
  </w:style>
  <w:style w:type="paragraph" w:styleId="162">
    <w:name w:val="Überschrift 3"/>
    <w:basedOn w:val="161"/>
    <w:next w:val="159"/>
    <w:link w:val="159"/>
    <w:rPr>
      <w:b w:val="false"/>
    </w:rPr>
    <w:pPr>
      <w:outlineLvl w:val="2"/>
    </w:pPr>
  </w:style>
  <w:style w:type="paragraph" w:styleId="163">
    <w:name w:val="Überschrift 4"/>
    <w:basedOn w:val="162"/>
    <w:next w:val="159"/>
    <w:link w:val="159"/>
    <w:pPr>
      <w:outlineLvl w:val="3"/>
    </w:pPr>
  </w:style>
  <w:style w:type="character" w:styleId="164">
    <w:name w:val="Absatz-Standardschriftart"/>
    <w:next w:val="164"/>
    <w:link w:val="159"/>
    <w:semiHidden/>
  </w:style>
  <w:style w:type="table" w:styleId="165">
    <w:name w:val="Normale Tabelle"/>
    <w:next w:val="165"/>
    <w:link w:val="159"/>
    <w:semiHidden/>
    <w:tblPr/>
  </w:style>
  <w:style w:type="numbering" w:styleId="166">
    <w:name w:val="Keine Liste"/>
    <w:next w:val="166"/>
    <w:link w:val="159"/>
    <w:semiHidden/>
  </w:style>
  <w:style w:type="paragraph" w:styleId="167">
    <w:name w:val="Kopfzeile"/>
    <w:basedOn w:val="168"/>
    <w:next w:val="167"/>
    <w:link w:val="159"/>
    <w:semiHidden/>
  </w:style>
  <w:style w:type="paragraph" w:styleId="168">
    <w:name w:val="Fußzeile"/>
    <w:basedOn w:val="159"/>
    <w:next w:val="168"/>
    <w:link w:val="159"/>
    <w:semiHidden/>
    <w:pPr>
      <w:tabs>
        <w:tab w:val="center" w:pos="4820" w:leader="none"/>
        <w:tab w:val="right" w:pos="9639" w:leader="none"/>
      </w:tabs>
    </w:pPr>
  </w:style>
  <w:style w:type="paragraph" w:styleId="169">
    <w:name w:val="ISO_MB"/>
    <w:basedOn w:val="159"/>
    <w:next w:val="169"/>
    <w:link w:val="159"/>
    <w:rPr>
      <w:sz w:val="18"/>
    </w:rPr>
    <w:pPr>
      <w:jc w:val="left"/>
      <w:spacing w:lineRule="exact" w:line="210" w:before="210"/>
    </w:pPr>
  </w:style>
  <w:style w:type="paragraph" w:styleId="170">
    <w:name w:val="ISO_Clause"/>
    <w:basedOn w:val="159"/>
    <w:next w:val="170"/>
    <w:link w:val="159"/>
    <w:rPr>
      <w:sz w:val="18"/>
    </w:rPr>
    <w:pPr>
      <w:jc w:val="left"/>
      <w:spacing w:lineRule="exact" w:line="210" w:before="210"/>
    </w:pPr>
  </w:style>
  <w:style w:type="paragraph" w:styleId="171">
    <w:name w:val="ISO_Paragraph"/>
    <w:basedOn w:val="159"/>
    <w:next w:val="171"/>
    <w:link w:val="159"/>
    <w:rPr>
      <w:sz w:val="18"/>
    </w:rPr>
    <w:pPr>
      <w:jc w:val="left"/>
      <w:spacing w:lineRule="exact" w:line="210" w:before="210"/>
    </w:pPr>
  </w:style>
  <w:style w:type="character" w:styleId="172">
    <w:name w:val="Seitenzahl"/>
    <w:next w:val="172"/>
    <w:link w:val="159"/>
    <w:semiHidden/>
    <w:rPr>
      <w:sz w:val="20"/>
    </w:rPr>
  </w:style>
  <w:style w:type="paragraph" w:styleId="173">
    <w:name w:val="ISO_Comm_Type"/>
    <w:basedOn w:val="159"/>
    <w:next w:val="173"/>
    <w:link w:val="159"/>
    <w:rPr>
      <w:sz w:val="18"/>
    </w:rPr>
    <w:pPr>
      <w:jc w:val="left"/>
      <w:spacing w:lineRule="exact" w:line="210" w:before="210"/>
    </w:pPr>
  </w:style>
  <w:style w:type="paragraph" w:styleId="174">
    <w:name w:val="ISO_Comments"/>
    <w:basedOn w:val="159"/>
    <w:next w:val="174"/>
    <w:link w:val="159"/>
    <w:rPr>
      <w:sz w:val="18"/>
    </w:rPr>
    <w:pPr>
      <w:jc w:val="left"/>
      <w:spacing w:lineRule="exact" w:line="210" w:before="210"/>
    </w:pPr>
  </w:style>
  <w:style w:type="paragraph" w:styleId="175">
    <w:name w:val="ISO_Change"/>
    <w:basedOn w:val="159"/>
    <w:next w:val="175"/>
    <w:link w:val="159"/>
    <w:rPr>
      <w:sz w:val="18"/>
    </w:rPr>
    <w:pPr>
      <w:jc w:val="left"/>
      <w:spacing w:lineRule="exact" w:line="210" w:before="210"/>
    </w:pPr>
  </w:style>
  <w:style w:type="paragraph" w:styleId="176">
    <w:name w:val="ISO_Secret_Observations"/>
    <w:basedOn w:val="159"/>
    <w:next w:val="176"/>
    <w:link w:val="159"/>
    <w:rPr>
      <w:sz w:val="18"/>
    </w:rPr>
    <w:pPr>
      <w:jc w:val="left"/>
      <w:spacing w:lineRule="exact" w:line="210" w:before="210"/>
    </w:pPr>
  </w:style>
  <w:style w:type="character" w:styleId="177">
    <w:name w:val="MTEquationSection"/>
    <w:next w:val="177"/>
    <w:link w:val="159"/>
    <w:rPr>
      <w:color w:val="FF0000"/>
      <w:sz w:val="16"/>
    </w:rPr>
  </w:style>
  <w:style w:type="paragraph" w:styleId="178">
    <w:name w:val="Fußnotentext"/>
    <w:basedOn w:val="159"/>
    <w:next w:val="178"/>
    <w:link w:val="159"/>
    <w:semiHidden/>
    <w:rPr>
      <w:sz w:val="20"/>
    </w:rPr>
  </w:style>
  <w:style w:type="character" w:styleId="179">
    <w:name w:val="Fußnotenzeichen"/>
    <w:next w:val="179"/>
    <w:link w:val="159"/>
    <w:semiHidden/>
    <w:rPr>
      <w:vertAlign w:val="superscript"/>
    </w:rPr>
  </w:style>
  <w:style w:type="character" w:styleId="180">
    <w:name w:val="mtequationsection"/>
    <w:basedOn w:val="164"/>
    <w:next w:val="180"/>
    <w:link w:val="159"/>
  </w:style>
  <w:style w:type="character" w:styleId="891" w:default="1">
    <w:name w:val="Default Paragraph Font"/>
    <w:uiPriority w:val="1"/>
    <w:semiHidden/>
    <w:unhideWhenUsed/>
  </w:style>
  <w:style w:type="numbering" w:styleId="892" w:default="1">
    <w:name w:val="No List"/>
    <w:uiPriority w:val="99"/>
    <w:semiHidden/>
    <w:unhideWhenUsed/>
  </w:style>
  <w:style w:type="paragraph" w:styleId="893" w:default="1">
    <w:name w:val="Normal"/>
    <w:qFormat/>
  </w:style>
  <w:style w:type="table" w:styleId="8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ONLYOFFICE/5.2.6.3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