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876" w:type="dxa"/>
        <w:jc w:val="center"/>
        <w:tblBorders>
          <w:left w:val="single" w:color="000000" w:sz="6" w:space="0"/>
          <w:top w:val="single" w:color="000000" w:sz="6" w:space="0"/>
          <w:right w:val="single" w:color="000000" w:sz="6" w:space="0"/>
          <w:bottom w:val="single" w:color="000000" w:sz="6" w:space="0"/>
          <w:insideV w:val="single" w:color="000000" w:sz="6" w:space="0"/>
          <w:insideH w:val="none" w:color="000000" w:sz="0" w:space="0"/>
        </w:tblBorders>
        <w:tblLayout w:type="fixed"/>
        <w:tblCellMar>
          <w:left w:w="99" w:type="dxa"/>
          <w:top w:w="0" w:type="dxa"/>
          <w:right w:w="99" w:type="dxa"/>
          <w:bottom w:w="0" w:type="dxa"/>
        </w:tblCellMar>
        <w:tblLook w:val="04A0" w:firstRow="1" w:lastRow="0" w:firstColumn="1" w:lastColumn="0" w:noHBand="0" w:noVBand="1"/>
      </w:tblPr>
      <w:tblGrid>
        <w:gridCol w:w="945"/>
        <w:gridCol w:w="890"/>
        <w:gridCol w:w="1185"/>
        <w:gridCol w:w="1185"/>
        <w:gridCol w:w="1093"/>
        <w:gridCol w:w="4079"/>
        <w:gridCol w:w="4134"/>
        <w:gridCol w:w="2365"/>
      </w:tblGrid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38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3.10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“assurance level, AL” is already sufficient covered by EAL.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38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3.14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“authentication data” is just an example of TSF data (3.170, Fig 5), so can just be covered at point of use in the standard.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38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3.24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TE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“coherent” is used in (multiple) work units, so needs to either be included in definitions or provide guidance in methodology. To avoid repetition, definition would be the preference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Add this to Evaluation verbs, under “What”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32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Composite Evaluation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Fig 10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TE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The following items should be added to this figure as they all relate to composition:</w:t>
            </w:r>
            <w:r/>
          </w:p>
          <w:p>
            <w:pPr>
              <w:numPr>
                <w:ilvl w:val="0"/>
                <w:numId w:val="3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3.25 compatible</w:t>
            </w:r>
            <w:r/>
          </w:p>
          <w:p>
            <w:pPr>
              <w:numPr>
                <w:ilvl w:val="0"/>
                <w:numId w:val="3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3.91 functional interface</w:t>
            </w:r>
            <w:r/>
          </w:p>
          <w:p>
            <w:pPr>
              <w:numPr>
                <w:ilvl w:val="0"/>
                <w:numId w:val="3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3.109 layering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FF0000"/>
                <w:sz w:val="18"/>
              </w:rPr>
              <w:t xml:space="preserve">TBC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38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3.26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Dictionary definition applies for “complete” so no further definition required, as it should be clear by context.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31</w:t>
              <w:br/>
              <w:t xml:space="preserve">Page 13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Vulnerability analysis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Fig 9 and/or Fig 5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TE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Perhaps this concept diagram should be extended to include the types of attack methods, including:</w:t>
            </w:r>
            <w:r/>
          </w:p>
          <w:p>
            <w:pPr>
              <w:numPr>
                <w:ilvl w:val="0"/>
                <w:numId w:val="4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3.52 covert channel</w:t>
            </w:r>
            <w:r/>
          </w:p>
          <w:p>
            <w:pPr>
              <w:numPr>
                <w:ilvl w:val="0"/>
                <w:numId w:val="4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3.114 monitoring attacks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But also: </w:t>
            </w:r>
            <w:r/>
          </w:p>
          <w:p>
            <w:pPr>
              <w:numPr>
                <w:ilvl w:val="0"/>
                <w:numId w:val="5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brute force, </w:t>
            </w:r>
            <w:r/>
          </w:p>
          <w:p>
            <w:pPr>
              <w:numPr>
                <w:ilvl w:val="0"/>
                <w:numId w:val="5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direct,</w:t>
            </w:r>
            <w:r/>
          </w:p>
          <w:p>
            <w:pPr>
              <w:numPr>
                <w:ilvl w:val="0"/>
                <w:numId w:val="5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bypass (which could then also cover 3.115 non-bypassability)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Alternatively (or as well) the TOE concept diagram (fig 5) could add a TOE architecture/construction/protection element that describe principles such as </w:t>
            </w:r>
            <w:r/>
          </w:p>
          <w:p>
            <w:pPr>
              <w:numPr>
                <w:ilvl w:val="0"/>
                <w:numId w:val="6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3.67 security domains</w:t>
            </w:r>
            <w:r/>
          </w:p>
          <w:p>
            <w:pPr>
              <w:numPr>
                <w:ilvl w:val="0"/>
                <w:numId w:val="6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3.142 domain separation </w:t>
            </w:r>
            <w:r/>
          </w:p>
          <w:p>
            <w:pPr>
              <w:numPr>
                <w:ilvl w:val="0"/>
                <w:numId w:val="6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3.115 non-bypassability</w:t>
            </w:r>
            <w:r/>
          </w:p>
          <w:p>
            <w:pPr>
              <w:numPr>
                <w:ilvl w:val="0"/>
                <w:numId w:val="6"/>
              </w:numPr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3.172TSF self-protection 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And could also then link to the attack methods 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FF0000"/>
                <w:sz w:val="18"/>
              </w:rPr>
              <w:t xml:space="preserve">TBC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sz w:val="18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39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3.95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“Identity” seems to be an example of a "security attribute" of an external entity, as per TOE concept figure (fig 5), so doesn’t need further explanation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39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40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3.100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3.101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3.104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3.111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3.125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3.126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3.151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3.163</w:t>
            </w:r>
            <w:r/>
          </w:p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3.166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These are all used as per the OED, and/or clear within context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  <w:tr>
        <w:trPr/>
        <w:tc>
          <w:tcPr>
            <w:tcBorders>
              <w:top w:val="single" w:color="000000" w:sz="6" w:space="0"/>
              <w:bottom w:val="single" w:color="000000" w:sz="6" w:space="0"/>
            </w:tcBorders>
            <w:tcW w:w="964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rPr>
                <w:sz w:val="16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rFonts w:ascii="Arial" w:hAnsi="Arial" w:cs="Arial" w:eastAsia="Arial"/>
                <w:color w:val="000000"/>
                <w:sz w:val="16"/>
              </w:rPr>
              <w:t xml:space="preserve">CCUF/DC</w:t>
            </w:r>
            <w:r>
              <w:rPr>
                <w:rFonts w:ascii="Arial" w:hAnsi="Arial" w:cs="Arial" w:eastAsia="Arial"/>
                <w:color w:val="000000"/>
                <w:sz w:val="16"/>
              </w:rPr>
            </w:r>
            <w:r>
              <w:rPr>
                <w:sz w:val="18"/>
              </w:rPr>
            </w:r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908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Page 40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Concept maps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20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3.112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1115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ED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177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“evaluation methodology” is sufficiently covered by evaluation method (although often used to specifically refer to the ISO18045)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4233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Remove definitions</w:t>
            </w:r>
            <w:r/>
          </w:p>
        </w:tc>
        <w:tc>
          <w:tcPr>
            <w:tcBorders>
              <w:top w:val="single" w:color="000000" w:sz="6" w:space="0"/>
              <w:bottom w:val="single" w:color="000000" w:sz="6" w:space="0"/>
            </w:tcBorders>
            <w:tcW w:w="2419" w:type="dxa"/>
            <w:vAlign w:val="top"/>
            <w:vMerge w:val="restart"/>
            <w:textDirection w:val="lrTb"/>
            <w:noWrap w:val="false"/>
          </w:tcPr>
          <w:p>
            <w:pPr>
              <w:ind w:left="0" w:right="0" w:hanging="0"/>
              <w:spacing w:after="60" w:before="60"/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</w:pBdr>
            </w:pPr>
            <w:r>
              <w:rPr>
                <w:rFonts w:ascii="Arial" w:hAnsi="Arial" w:cs="Arial" w:eastAsia="Arial"/>
                <w:color w:val="000000"/>
                <w:sz w:val="18"/>
              </w:rPr>
              <w:t xml:space="preserve"> </w:t>
            </w:r>
            <w:r/>
          </w:p>
        </w:tc>
      </w:tr>
    </w:tbl>
    <w:p>
      <w:pPr>
        <w:pStyle w:val="163"/>
        <w:spacing w:lineRule="exact" w:line="240"/>
      </w:pPr>
      <w:r/>
      <w:r/>
    </w:p>
    <w:p>
      <w:pPr>
        <w:pStyle w:val="163"/>
      </w:pPr>
      <w:r/>
      <w:r/>
    </w:p>
    <w:p>
      <w:pPr>
        <w:pStyle w:val="163"/>
      </w:pPr>
      <w:r/>
      <w:r/>
    </w:p>
    <w:p>
      <w:pPr>
        <w:pStyle w:val="163"/>
      </w:pPr>
      <w:r/>
      <w:r/>
    </w:p>
    <w:p>
      <w:pPr>
        <w:pStyle w:val="163"/>
      </w:pPr>
      <w:r/>
      <w:r/>
    </w:p>
    <w:p>
      <w:pPr>
        <w:pStyle w:val="163"/>
      </w:pPr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continuous"/>
      <w:pgSz w:w="16840" w:h="11907" w:orient="landscape"/>
      <w:pgMar w:top="851" w:right="851" w:bottom="851" w:left="851" w:gutter="0" w:header="567" w:footer="567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ＭＳ 明朝">
    <w:panose1 w:val="0202060904020508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2"/>
      <w:jc w:val="left"/>
      <w:spacing w:after="20" w:before="20"/>
      <w:tabs>
        <w:tab w:val="left" w:pos="284" w:leader="none"/>
        <w:tab w:val="left" w:pos="3969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bCs/>
        <w:sz w:val="16"/>
      </w:rPr>
      <w:t xml:space="preserve">1</w:t>
      <w:tab/>
    </w:r>
    <w:r>
      <w:rPr>
        <w:rStyle w:val="176"/>
        <w:b/>
        <w:bCs/>
        <w:sz w:val="16"/>
      </w:rPr>
      <w:t xml:space="preserve">Expert</w:t>
    </w:r>
    <w:r>
      <w:rPr>
        <w:rStyle w:val="176"/>
        <w:bCs/>
        <w:sz w:val="16"/>
      </w:rPr>
      <w:t xml:space="preserve"> = enter the ISO 3166 two-letter country code</w:t>
    </w:r>
    <w:r>
      <w:rPr>
        <w:rStyle w:val="176"/>
        <w:bCs/>
        <w:sz w:val="16"/>
      </w:rPr>
      <w:t xml:space="preserve"> and</w:t>
    </w:r>
    <w:r>
      <w:rPr>
        <w:rStyle w:val="176"/>
        <w:bCs/>
        <w:sz w:val="16"/>
      </w:rPr>
      <w:t xml:space="preserve"> the</w:t>
    </w:r>
    <w:r>
      <w:rPr>
        <w:rStyle w:val="176"/>
        <w:bCs/>
        <w:sz w:val="16"/>
      </w:rPr>
      <w:t xml:space="preserve"> first and </w:t>
    </w:r>
    <w:r>
      <w:rPr>
        <w:rStyle w:val="176"/>
        <w:bCs/>
        <w:sz w:val="16"/>
      </w:rPr>
      <w:t xml:space="preserve">the </w:t>
    </w:r>
    <w:r>
      <w:rPr>
        <w:rStyle w:val="176"/>
        <w:bCs/>
        <w:sz w:val="16"/>
      </w:rPr>
      <w:t xml:space="preserve">last initial of the </w:t>
    </w:r>
    <w:r>
      <w:rPr>
        <w:rStyle w:val="176"/>
        <w:bCs/>
        <w:sz w:val="16"/>
      </w:rPr>
      <w:t xml:space="preserve">expert and # of comment</w:t>
    </w:r>
    <w:r>
      <w:rPr>
        <w:rStyle w:val="176"/>
        <w:bCs/>
        <w:sz w:val="16"/>
      </w:rPr>
      <w:t xml:space="preserve">, e.g. </w:t>
    </w:r>
    <w:r>
      <w:rPr>
        <w:rStyle w:val="176"/>
        <w:bCs/>
        <w:sz w:val="16"/>
      </w:rPr>
      <w:t xml:space="preserve">JP/TT</w:t>
    </w:r>
    <w:r>
      <w:rPr>
        <w:rStyle w:val="176"/>
        <w:bCs/>
        <w:sz w:val="16"/>
      </w:rPr>
      <w:t xml:space="preserve">77 where JP for Japan, TT for Toshio Tatsuta, 77 for #</w:t>
    </w:r>
    <w:r>
      <w:rPr>
        <w:rStyle w:val="176"/>
        <w:bCs/>
        <w:sz w:val="16"/>
      </w:rPr>
      <w:t xml:space="preserve"> indicate. </w:t>
    </w:r>
    <w:r>
      <w:rPr>
        <w:rStyle w:val="176"/>
        <w:bCs/>
        <w:sz w:val="16"/>
      </w:rPr>
    </w:r>
    <w:r/>
  </w:p>
  <w:p>
    <w:pPr>
      <w:pStyle w:val="172"/>
      <w:jc w:val="left"/>
      <w:spacing w:after="20" w:before="20"/>
      <w:tabs>
        <w:tab w:val="left" w:pos="284" w:leader="none"/>
        <w:tab w:val="left" w:pos="3969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bCs/>
        <w:sz w:val="16"/>
      </w:rPr>
      <w:t xml:space="preserve">2</w:t>
      <w:tab/>
      <w:t xml:space="preserve">Expert = enter the liaison orga</w:t>
    </w:r>
    <w:r>
      <w:rPr>
        <w:rStyle w:val="176"/>
        <w:bCs/>
        <w:sz w:val="16"/>
      </w:rPr>
      <w:t xml:space="preserve">n</w:t>
    </w:r>
    <w:r>
      <w:rPr>
        <w:rStyle w:val="176"/>
        <w:bCs/>
        <w:sz w:val="16"/>
      </w:rPr>
      <w:t xml:space="preserve">ization abbreviation and the first and the last intial of the liaison expert and # of comment, e.g.ISF/MM</w:t>
    </w:r>
    <w:r>
      <w:rPr>
        <w:rStyle w:val="176"/>
        <w:bCs/>
        <w:sz w:val="16"/>
      </w:rPr>
      <w:t xml:space="preserve">66</w:t>
    </w:r>
    <w:r>
      <w:rPr>
        <w:rStyle w:val="176"/>
        <w:bCs/>
        <w:sz w:val="16"/>
      </w:rPr>
      <w:t xml:space="preserve"> where ISF Information Security Forum, MM for Mike Miller and </w:t>
    </w:r>
    <w:r>
      <w:rPr>
        <w:rStyle w:val="176"/>
        <w:bCs/>
        <w:sz w:val="16"/>
      </w:rPr>
      <w:t xml:space="preserve">66</w:t>
    </w:r>
    <w:r>
      <w:rPr>
        <w:rStyle w:val="176"/>
        <w:bCs/>
        <w:sz w:val="16"/>
      </w:rPr>
      <w:t xml:space="preserve">  </w:t>
      <w:tab/>
      <w:t xml:space="preserve"># indicate.</w:t>
    </w:r>
    <w:r/>
  </w:p>
  <w:p>
    <w:pPr>
      <w:pStyle w:val="172"/>
      <w:jc w:val="left"/>
      <w:spacing w:after="20" w:before="20"/>
      <w:tabs>
        <w:tab w:val="left" w:pos="284" w:leader="none"/>
        <w:tab w:val="left" w:pos="1843" w:leader="none"/>
        <w:tab w:val="left" w:pos="2268" w:leader="none"/>
        <w:tab w:val="left" w:pos="3119" w:leader="none"/>
        <w:tab w:val="left" w:pos="4395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sz w:val="16"/>
      </w:rPr>
      <w:t xml:space="preserve">3</w:t>
    </w:r>
    <w:r>
      <w:rPr>
        <w:rStyle w:val="176"/>
        <w:b/>
        <w:sz w:val="16"/>
      </w:rPr>
      <w:tab/>
      <w:t xml:space="preserve">Type of comment:</w:t>
    </w:r>
    <w:r>
      <w:rPr>
        <w:rStyle w:val="176"/>
        <w:bCs/>
        <w:sz w:val="16"/>
      </w:rPr>
      <w:tab/>
    </w:r>
    <w:r>
      <w:rPr>
        <w:rStyle w:val="176"/>
        <w:b/>
        <w:sz w:val="16"/>
      </w:rPr>
      <w:t xml:space="preserve">ge</w:t>
    </w:r>
    <w:r>
      <w:rPr>
        <w:rStyle w:val="176"/>
        <w:bCs/>
        <w:sz w:val="16"/>
      </w:rPr>
      <w:t xml:space="preserve"> = general</w:t>
      <w:tab/>
    </w:r>
    <w:r>
      <w:rPr>
        <w:rStyle w:val="176"/>
        <w:b/>
        <w:sz w:val="16"/>
      </w:rPr>
      <w:t xml:space="preserve">te</w:t>
    </w:r>
    <w:r>
      <w:rPr>
        <w:rStyle w:val="176"/>
        <w:bCs/>
        <w:sz w:val="16"/>
      </w:rPr>
      <w:t xml:space="preserve"> = technical </w:t>
      <w:tab/>
    </w:r>
    <w:r>
      <w:rPr>
        <w:rStyle w:val="176"/>
        <w:b/>
        <w:sz w:val="16"/>
      </w:rPr>
      <w:t xml:space="preserve">ed</w:t>
    </w:r>
    <w:r>
      <w:rPr>
        <w:rStyle w:val="176"/>
        <w:bCs/>
        <w:sz w:val="16"/>
      </w:rPr>
      <w:t xml:space="preserve"> = editorial </w:t>
    </w:r>
    <w:r/>
  </w:p>
  <w:p>
    <w:pPr>
      <w:pStyle w:val="172"/>
      <w:jc w:val="right"/>
      <w:tabs>
        <w:tab w:val="clear" w:pos="4820" w:leader="none"/>
        <w:tab w:val="clear" w:pos="9639" w:leader="none"/>
      </w:tabs>
      <w:rPr>
        <w:rStyle w:val="176"/>
        <w:sz w:val="16"/>
      </w:rPr>
    </w:pPr>
    <w:r>
      <w:rPr>
        <w:rStyle w:val="176"/>
        <w:sz w:val="16"/>
        <w:lang w:val="en-US"/>
      </w:rPr>
      <w:t xml:space="preserve">page </w:t>
    </w:r>
    <w:r>
      <w:rPr>
        <w:rStyle w:val="176"/>
        <w:sz w:val="16"/>
        <w:lang w:val="en-US"/>
      </w:rPr>
      <w:fldChar w:fldCharType="begin"/>
    </w:r>
    <w:r>
      <w:rPr>
        <w:rStyle w:val="176"/>
        <w:sz w:val="16"/>
        <w:lang w:val="en-US"/>
      </w:rPr>
      <w:instrText xml:space="preserve"> PAGE </w:instrText>
    </w:r>
    <w:r>
      <w:rPr>
        <w:rStyle w:val="176"/>
        <w:sz w:val="16"/>
        <w:lang w:val="en-US"/>
      </w:rPr>
      <w:fldChar w:fldCharType="separate"/>
    </w:r>
    <w:r>
      <w:rPr>
        <w:rStyle w:val="176"/>
        <w:sz w:val="16"/>
        <w:lang w:val="en-US"/>
      </w:rPr>
      <w:t xml:space="preserve">1</w:t>
    </w:r>
    <w:r>
      <w:rPr>
        <w:rStyle w:val="176"/>
        <w:sz w:val="16"/>
        <w:lang w:val="en-US"/>
      </w:rPr>
      <w:fldChar w:fldCharType="end"/>
    </w:r>
    <w:r>
      <w:rPr>
        <w:rStyle w:val="176"/>
        <w:sz w:val="16"/>
        <w:lang w:val="en-US"/>
      </w:rPr>
      <w:t xml:space="preserve"> of </w:t>
    </w:r>
    <w:r>
      <w:rPr>
        <w:rStyle w:val="176"/>
        <w:sz w:val="16"/>
        <w:lang w:val="en-US"/>
      </w:rPr>
      <w:fldChar w:fldCharType="begin"/>
    </w:r>
    <w:r>
      <w:rPr>
        <w:rStyle w:val="176"/>
        <w:sz w:val="16"/>
        <w:lang w:val="en-US"/>
      </w:rPr>
      <w:instrText xml:space="preserve"> NUMPAGES </w:instrText>
    </w:r>
    <w:r>
      <w:rPr>
        <w:rStyle w:val="176"/>
        <w:sz w:val="16"/>
        <w:lang w:val="en-US"/>
      </w:rPr>
      <w:fldChar w:fldCharType="separate"/>
    </w:r>
    <w:r>
      <w:rPr>
        <w:rStyle w:val="176"/>
        <w:sz w:val="16"/>
        <w:lang w:val="en-US"/>
      </w:rPr>
      <w:t xml:space="preserve">1</w:t>
    </w:r>
    <w:r>
      <w:rPr>
        <w:rStyle w:val="176"/>
        <w:sz w:val="16"/>
        <w:lang w:val="en-US"/>
      </w:rPr>
      <w:fldChar w:fldCharType="end"/>
    </w:r>
    <w:r>
      <w:rPr>
        <w:rStyle w:val="176"/>
        <w:sz w:val="16"/>
      </w:rPr>
    </w:r>
    <w:r/>
  </w:p>
  <w:p>
    <w:pPr>
      <w:pStyle w:val="172"/>
      <w:jc w:val="left"/>
      <w:rPr>
        <w:rStyle w:val="176"/>
        <w:i/>
        <w:iCs/>
        <w:sz w:val="16"/>
      </w:rPr>
    </w:pPr>
    <w:r>
      <w:rPr>
        <w:rStyle w:val="176"/>
        <w:i/>
        <w:iCs/>
        <w:sz w:val="16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2"/>
      <w:jc w:val="left"/>
      <w:spacing w:after="20" w:before="20"/>
      <w:tabs>
        <w:tab w:val="left" w:pos="284" w:leader="none"/>
        <w:tab w:val="left" w:pos="3969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bCs/>
        <w:sz w:val="16"/>
      </w:rPr>
      <w:t xml:space="preserve">1</w:t>
      <w:tab/>
    </w:r>
    <w:r>
      <w:rPr>
        <w:rStyle w:val="176"/>
        <w:b/>
        <w:sz w:val="16"/>
      </w:rPr>
      <w:t xml:space="preserve">MB</w:t>
    </w:r>
    <w:r>
      <w:rPr>
        <w:rStyle w:val="176"/>
        <w:bCs/>
        <w:sz w:val="16"/>
      </w:rPr>
      <w:t xml:space="preserve"> = Member body (enter the ISO 3166 two-letter country code, e.g. CN for China)</w:t>
      <w:tab/>
    </w:r>
    <w:r>
      <w:rPr>
        <w:rStyle w:val="176"/>
        <w:b/>
        <w:sz w:val="16"/>
      </w:rPr>
      <w:t xml:space="preserve">**</w:t>
    </w:r>
    <w:r>
      <w:rPr>
        <w:rStyle w:val="176"/>
        <w:bCs/>
        <w:sz w:val="16"/>
      </w:rPr>
      <w:t xml:space="preserve"> = ISO/CS editing unit</w:t>
    </w:r>
    <w:r/>
  </w:p>
  <w:p>
    <w:pPr>
      <w:pStyle w:val="172"/>
      <w:jc w:val="left"/>
      <w:spacing w:after="20" w:before="20"/>
      <w:tabs>
        <w:tab w:val="left" w:pos="284" w:leader="none"/>
        <w:tab w:val="left" w:pos="1843" w:leader="none"/>
        <w:tab w:val="left" w:pos="2268" w:leader="none"/>
        <w:tab w:val="left" w:pos="3119" w:leader="none"/>
        <w:tab w:val="left" w:pos="4395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sz w:val="16"/>
      </w:rPr>
      <w:t xml:space="preserve">2</w:t>
    </w:r>
    <w:r>
      <w:rPr>
        <w:rStyle w:val="176"/>
        <w:b/>
        <w:sz w:val="16"/>
      </w:rPr>
      <w:tab/>
      <w:t xml:space="preserve">Type of comment</w:t>
    </w:r>
    <w:r>
      <w:rPr>
        <w:rStyle w:val="176"/>
        <w:bCs/>
        <w:sz w:val="16"/>
      </w:rPr>
      <w:t xml:space="preserve">:</w:t>
      <w:tab/>
      <w:t xml:space="preserve">ge = general</w:t>
      <w:tab/>
      <w:t xml:space="preserve">te = technical </w:t>
      <w:tab/>
      <w:t xml:space="preserve">ed = editorial </w:t>
    </w:r>
    <w:r/>
  </w:p>
  <w:p>
    <w:pPr>
      <w:pStyle w:val="172"/>
      <w:jc w:val="left"/>
      <w:spacing w:after="20" w:before="20"/>
      <w:tabs>
        <w:tab w:val="left" w:pos="284" w:leader="none"/>
        <w:tab w:val="clear" w:pos="4820" w:leader="none"/>
        <w:tab w:val="clear" w:pos="9639" w:leader="none"/>
      </w:tabs>
      <w:rPr>
        <w:rStyle w:val="176"/>
        <w:bCs/>
        <w:sz w:val="16"/>
      </w:rPr>
    </w:pPr>
    <w:r>
      <w:rPr>
        <w:rStyle w:val="176"/>
        <w:b/>
        <w:sz w:val="16"/>
      </w:rPr>
      <w:t xml:space="preserve">NB</w:t>
    </w:r>
    <w:r>
      <w:rPr>
        <w:rStyle w:val="176"/>
        <w:bCs/>
        <w:sz w:val="16"/>
      </w:rPr>
      <w:tab/>
      <w:t xml:space="preserve">Columns 1, 2, 4, 5 are compulsory.</w:t>
    </w:r>
    <w:r/>
  </w:p>
  <w:p>
    <w:pPr>
      <w:pStyle w:val="172"/>
      <w:jc w:val="right"/>
      <w:tabs>
        <w:tab w:val="clear" w:pos="4820" w:leader="none"/>
        <w:tab w:val="clear" w:pos="9639" w:leader="none"/>
      </w:tabs>
      <w:rPr>
        <w:rStyle w:val="176"/>
        <w:sz w:val="16"/>
      </w:rPr>
    </w:pPr>
    <w:r>
      <w:rPr>
        <w:rStyle w:val="176"/>
        <w:sz w:val="16"/>
        <w:lang w:val="en-US"/>
      </w:rPr>
      <w:t xml:space="preserve">page </w:t>
    </w:r>
    <w:r>
      <w:rPr>
        <w:rStyle w:val="176"/>
        <w:sz w:val="16"/>
        <w:lang w:val="en-US"/>
      </w:rPr>
      <w:fldChar w:fldCharType="begin"/>
    </w:r>
    <w:r>
      <w:rPr>
        <w:rStyle w:val="176"/>
        <w:sz w:val="16"/>
        <w:lang w:val="en-US"/>
      </w:rPr>
      <w:instrText xml:space="preserve"> PAGE </w:instrText>
    </w:r>
    <w:r>
      <w:rPr>
        <w:rStyle w:val="176"/>
        <w:sz w:val="16"/>
        <w:lang w:val="en-US"/>
      </w:rPr>
      <w:fldChar w:fldCharType="separate"/>
    </w:r>
    <w:r>
      <w:rPr>
        <w:rStyle w:val="176"/>
        <w:sz w:val="16"/>
        <w:lang w:val="en-US"/>
      </w:rPr>
      <w:t xml:space="preserve">1</w:t>
    </w:r>
    <w:r>
      <w:rPr>
        <w:rStyle w:val="176"/>
        <w:sz w:val="16"/>
        <w:lang w:val="en-US"/>
      </w:rPr>
      <w:fldChar w:fldCharType="end"/>
    </w:r>
    <w:r>
      <w:rPr>
        <w:rStyle w:val="176"/>
        <w:sz w:val="16"/>
        <w:lang w:val="en-US"/>
      </w:rPr>
      <w:t xml:space="preserve"> of </w:t>
    </w:r>
    <w:r>
      <w:rPr>
        <w:rStyle w:val="176"/>
        <w:sz w:val="16"/>
        <w:lang w:val="en-US"/>
      </w:rPr>
      <w:fldChar w:fldCharType="begin"/>
    </w:r>
    <w:r>
      <w:rPr>
        <w:rStyle w:val="176"/>
        <w:sz w:val="16"/>
        <w:lang w:val="en-US"/>
      </w:rPr>
      <w:instrText xml:space="preserve"> NUMPAGES </w:instrText>
    </w:r>
    <w:r>
      <w:rPr>
        <w:rStyle w:val="176"/>
        <w:sz w:val="16"/>
        <w:lang w:val="en-US"/>
      </w:rPr>
      <w:fldChar w:fldCharType="separate"/>
    </w:r>
    <w:r>
      <w:rPr>
        <w:rStyle w:val="176"/>
        <w:sz w:val="16"/>
        <w:lang w:val="en-US"/>
      </w:rPr>
      <w:t xml:space="preserve">1</w:t>
    </w:r>
    <w:r>
      <w:rPr>
        <w:rStyle w:val="176"/>
        <w:sz w:val="16"/>
        <w:lang w:val="en-US"/>
      </w:rPr>
      <w:fldChar w:fldCharType="end"/>
    </w:r>
    <w:r>
      <w:rPr>
        <w:rStyle w:val="176"/>
        <w:sz w:val="16"/>
      </w:rPr>
    </w:r>
    <w:r/>
  </w:p>
  <w:p>
    <w:pPr>
      <w:pStyle w:val="172"/>
      <w:jc w:val="left"/>
      <w:rPr>
        <w:sz w:val="14"/>
      </w:rPr>
    </w:pPr>
    <w:r>
      <w:rPr>
        <w:rStyle w:val="176"/>
        <w:sz w:val="16"/>
      </w:rPr>
      <w:t xml:space="preserve">FORM 13B (ISO) version 2001-09</w:t>
    </w:r>
    <w:r>
      <w:rPr>
        <w:sz w:val="14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3"/>
    </w:pPr>
    <w:r/>
    <w:r/>
  </w:p>
  <w:tbl>
    <w:tblPr>
      <w:tblW w:w="15876" w:type="dxa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none" w:color="000000" w:sz="0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7740"/>
      <w:gridCol w:w="2410"/>
      <w:gridCol w:w="3119"/>
      <w:gridCol w:w="2607"/>
    </w:tblGrid>
    <w:tr>
      <w:trPr>
        <w:cantSplit/>
      </w:trPr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W w:w="7740" w:type="dxa"/>
          <w:vAlign w:val="top"/>
          <w:textDirection w:val="lrTb"/>
          <w:noWrap w:val="false"/>
        </w:tcPr>
        <w:p>
          <w:pPr>
            <w:pStyle w:val="178"/>
            <w:spacing w:after="60" w:before="60"/>
            <w:rPr>
              <w:sz w:val="20"/>
            </w:rPr>
          </w:pPr>
          <w:r>
            <w:rPr>
              <w:sz w:val="20"/>
            </w:rPr>
          </w:r>
          <w:r/>
        </w:p>
        <w:p>
          <w:pPr>
            <w:pStyle w:val="178"/>
            <w:spacing w:after="60" w:before="60"/>
            <w:rPr>
              <w:lang w:eastAsia="ja-JP"/>
            </w:rPr>
          </w:pPr>
          <w:r>
            <w:rPr>
              <w:sz w:val="20"/>
            </w:rPr>
            <w:t xml:space="preserve">E</w:t>
          </w:r>
          <w:r>
            <w:rPr>
              <w:sz w:val="20"/>
            </w:rPr>
            <w:t xml:space="preserve">xpert</w:t>
          </w:r>
          <w:r>
            <w:rPr>
              <w:sz w:val="20"/>
            </w:rPr>
            <w:t xml:space="preserve"> </w:t>
          </w:r>
          <w:r>
            <w:rPr>
              <w:bCs/>
              <w:sz w:val="20"/>
            </w:rPr>
            <w:t xml:space="preserve">(e.g. </w:t>
          </w:r>
          <w:r>
            <w:rPr>
              <w:bCs/>
              <w:sz w:val="20"/>
            </w:rPr>
            <w:t xml:space="preserve">JP/TT </w:t>
          </w:r>
          <w:r>
            <w:rPr>
              <w:bCs/>
              <w:sz w:val="20"/>
            </w:rPr>
            <w:t xml:space="preserve">)</w:t>
          </w:r>
          <w:r>
            <w:rPr>
              <w:sz w:val="20"/>
              <w:vertAlign w:val="superscript"/>
            </w:rPr>
            <w:t xml:space="preserve">1</w:t>
          </w:r>
          <w:r>
            <w:rPr>
              <w:sz w:val="20"/>
            </w:rPr>
            <w:t xml:space="preserve"> </w:t>
          </w:r>
          <w:r>
            <w:rPr>
              <w:sz w:val="20"/>
              <w:vertAlign w:val="superscript"/>
            </w:rPr>
            <w:t xml:space="preserve">2</w:t>
          </w:r>
          <w:r>
            <w:rPr>
              <w:sz w:val="20"/>
            </w:rPr>
            <w:t xml:space="preserve"> </w:t>
          </w:r>
          <w:r>
            <w:rPr>
              <w:sz w:val="20"/>
            </w:rPr>
            <w:t xml:space="preserve">comments on </w:t>
          </w:r>
          <w:r>
            <w:rPr>
              <w:sz w:val="20"/>
            </w:rPr>
            <w:t xml:space="preserve">ISO/IEC </w:t>
          </w:r>
          <w:r>
            <w:rPr>
              <w:sz w:val="20"/>
            </w:rPr>
            <w:t xml:space="preserve"> </w:t>
          </w:r>
          <w:r>
            <w:rPr>
              <w:sz w:val="20"/>
              <w:lang w:eastAsia="ja-JP"/>
            </w:rPr>
            <w:t xml:space="preserve">4</w:t>
          </w:r>
          <w:r>
            <w:rPr>
              <w:sz w:val="20"/>
              <w:vertAlign w:val="superscript"/>
              <w:lang w:eastAsia="ja-JP"/>
            </w:rPr>
            <w:t xml:space="preserve">th</w:t>
          </w:r>
          <w:r>
            <w:rPr>
              <w:sz w:val="20"/>
            </w:rPr>
            <w:t xml:space="preserve"> </w:t>
          </w:r>
          <w:r>
            <w:rPr>
              <w:sz w:val="20"/>
            </w:rPr>
            <w:t xml:space="preserve">WD </w:t>
          </w:r>
          <w:r>
            <w:rPr>
              <w:sz w:val="20"/>
              <w:lang w:eastAsia="ja-JP"/>
            </w:rPr>
            <w:t xml:space="preserve">22216</w:t>
          </w:r>
          <w:r>
            <w:rPr>
              <w:lang w:eastAsia="ja-JP"/>
            </w:rPr>
          </w:r>
          <w:r/>
        </w:p>
      </w:tc>
      <w:tc>
        <w:tcPr>
          <w:tcBorders>
            <w:left w:val="single" w:color="000000" w:sz="6" w:space="0"/>
            <w:top w:val="single" w:color="000000" w:sz="6" w:space="0"/>
            <w:bottom w:val="single" w:color="000000" w:sz="6" w:space="0"/>
          </w:tcBorders>
          <w:tcW w:w="2410" w:type="dxa"/>
          <w:vAlign w:val="top"/>
          <w:textDirection w:val="lrTb"/>
          <w:noWrap w:val="false"/>
        </w:tcPr>
        <w:p>
          <w:pPr>
            <w:pStyle w:val="179"/>
            <w:spacing w:after="60" w:before="60"/>
            <w:rPr>
              <w:bCs/>
            </w:rPr>
          </w:pPr>
          <w:r>
            <w:rPr>
              <w:bCs/>
            </w:rPr>
            <w:t xml:space="preserve">Date: 20</w:t>
          </w:r>
          <w:r>
            <w:rPr>
              <w:bCs/>
            </w:rPr>
            <w:t xml:space="preserve">yy</w:t>
          </w:r>
          <w:r>
            <w:rPr>
              <w:bCs/>
            </w:rPr>
            <w:t xml:space="preserve">-mm-dd</w:t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3119" w:type="dxa"/>
          <w:vAlign w:val="top"/>
          <w:textDirection w:val="lrTb"/>
          <w:noWrap w:val="false"/>
        </w:tcPr>
        <w:p>
          <w:pPr>
            <w:pStyle w:val="180"/>
            <w:spacing w:after="60" w:before="60"/>
            <w:rPr>
              <w:sz w:val="20"/>
              <w:lang w:eastAsia="ja-JP"/>
            </w:rPr>
          </w:pPr>
          <w:r>
            <w:rPr>
              <w:bCs/>
            </w:rPr>
            <w:t xml:space="preserve">Document:</w:t>
          </w:r>
          <w:r>
            <w:rPr>
              <w:sz w:val="20"/>
            </w:rPr>
            <w:t xml:space="preserve"> </w:t>
          </w:r>
          <w:r>
            <w:rPr>
              <w:sz w:val="20"/>
              <w:lang w:eastAsia="ja-JP"/>
            </w:rPr>
            <w:t xml:space="preserve">WG3 N</w:t>
          </w:r>
          <w:r>
            <w:rPr>
              <w:sz w:val="20"/>
              <w:lang w:eastAsia="ja-JP"/>
            </w:rPr>
            <w:t xml:space="preserve">1633</w:t>
          </w:r>
          <w:r>
            <w:rPr>
              <w:sz w:val="20"/>
              <w:lang w:eastAsia="ja-JP"/>
            </w:rPr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2607" w:type="dxa"/>
          <w:vAlign w:val="top"/>
          <w:textDirection w:val="lrTb"/>
          <w:noWrap w:val="false"/>
        </w:tcPr>
        <w:p>
          <w:pPr>
            <w:pStyle w:val="180"/>
            <w:spacing w:after="60" w:before="60"/>
            <w:rPr>
              <w:bCs/>
              <w:sz w:val="20"/>
            </w:rPr>
          </w:pPr>
          <w:r>
            <w:rPr>
              <w:bCs/>
              <w:sz w:val="20"/>
            </w:rPr>
            <w:t xml:space="preserve">Project: </w:t>
          </w:r>
          <w:r/>
        </w:p>
        <w:p>
          <w:pPr>
            <w:pStyle w:val="180"/>
            <w:spacing w:after="60" w:before="60"/>
            <w:rPr>
              <w:bCs/>
              <w:sz w:val="20"/>
            </w:rPr>
          </w:pPr>
          <w:r>
            <w:rPr>
              <w:lang w:val="en-US"/>
            </w:rPr>
            <w:t xml:space="preserve">TR 22216</w:t>
          </w:r>
          <w:r>
            <w:rPr>
              <w:bCs/>
              <w:sz w:val="20"/>
            </w:rPr>
          </w:r>
          <w:r/>
        </w:p>
      </w:tc>
    </w:tr>
  </w:tbl>
  <w:p>
    <w:pPr>
      <w:pStyle w:val="171"/>
    </w:pPr>
    <w:r/>
    <w:r/>
  </w:p>
  <w:tbl>
    <w:tblPr>
      <w:tblW w:w="15876" w:type="dxa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single" w:color="000000" w:sz="6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945"/>
      <w:gridCol w:w="890"/>
      <w:gridCol w:w="1185"/>
      <w:gridCol w:w="1185"/>
      <w:gridCol w:w="1093"/>
      <w:gridCol w:w="4079"/>
      <w:gridCol w:w="4134"/>
      <w:gridCol w:w="2365"/>
    </w:tblGrid>
    <w:tr>
      <w:trPr>
        <w:cantSplit/>
      </w:trPr>
      <w:tc>
        <w:tcPr>
          <w:tcW w:w="96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Expert</w:t>
          </w:r>
          <w:r/>
        </w:p>
        <w:p>
          <w:pPr>
            <w:pStyle w:val="163"/>
            <w:jc w:val="center"/>
            <w:keepLines/>
            <w:rPr>
              <w:b/>
              <w:sz w:val="16"/>
            </w:rPr>
          </w:pPr>
          <w:r>
            <w:rPr>
              <w:b/>
              <w:sz w:val="16"/>
            </w:rPr>
            <w:t xml:space="preserve">#</w:t>
          </w:r>
          <w:r/>
        </w:p>
        <w:p>
          <w:pPr>
            <w:pStyle w:val="163"/>
            <w:jc w:val="center"/>
            <w:keepLines/>
            <w:rPr>
              <w:b/>
              <w:sz w:val="16"/>
            </w:rPr>
          </w:pPr>
          <w:r>
            <w:rPr>
              <w:b/>
              <w:bCs/>
              <w:sz w:val="16"/>
              <w:szCs w:val="16"/>
              <w:lang w:val="en-US"/>
            </w:rPr>
            <w:t xml:space="preserve">(e.g. </w:t>
          </w:r>
          <w:r>
            <w:rPr>
              <w:b/>
              <w:bCs/>
              <w:sz w:val="16"/>
              <w:szCs w:val="16"/>
              <w:lang w:val="en-US"/>
            </w:rPr>
            <w:t xml:space="preserve">JP/TT77</w:t>
          </w:r>
          <w:r>
            <w:rPr>
              <w:b/>
              <w:bCs/>
              <w:sz w:val="16"/>
              <w:szCs w:val="16"/>
              <w:lang w:val="en-US"/>
            </w:rPr>
            <w:t xml:space="preserve"> </w:t>
          </w:r>
          <w:r>
            <w:rPr>
              <w:b/>
              <w:bCs/>
              <w:sz w:val="16"/>
              <w:szCs w:val="16"/>
              <w:vertAlign w:val="superscript"/>
              <w:lang w:val="en-US"/>
            </w:rPr>
            <w:t xml:space="preserve">1</w:t>
          </w:r>
          <w:r>
            <w:rPr>
              <w:b/>
              <w:bCs/>
              <w:sz w:val="16"/>
              <w:szCs w:val="16"/>
              <w:lang w:val="en-US"/>
            </w:rPr>
            <w:t xml:space="preserve">)</w:t>
          </w:r>
          <w:r>
            <w:rPr>
              <w:b/>
              <w:sz w:val="16"/>
            </w:rPr>
          </w:r>
          <w:r/>
        </w:p>
      </w:tc>
      <w:tc>
        <w:tcPr>
          <w:tcW w:w="908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Line number</w:t>
          </w:r>
          <w:r/>
        </w:p>
        <w:p>
          <w:pPr>
            <w:pStyle w:val="163"/>
            <w:jc w:val="center"/>
            <w:keepLines/>
            <w:spacing w:lineRule="exact" w:line="190" w:after="60"/>
            <w:rPr>
              <w:b/>
              <w:sz w:val="16"/>
            </w:rPr>
          </w:pPr>
          <w:r>
            <w:rPr>
              <w:bCs/>
              <w:sz w:val="16"/>
            </w:rPr>
            <w:t xml:space="preserve">(e.g. 17)</w:t>
          </w:r>
          <w:r>
            <w:rPr>
              <w:b/>
              <w:sz w:val="16"/>
            </w:rPr>
          </w:r>
          <w:r/>
        </w:p>
      </w:tc>
      <w:tc>
        <w:tcPr>
          <w:tcW w:w="120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Clause/ Subclause</w:t>
          </w:r>
          <w:r/>
        </w:p>
        <w:p>
          <w:pPr>
            <w:pStyle w:val="163"/>
            <w:jc w:val="center"/>
            <w:keepLines/>
            <w:spacing w:lineRule="exact" w:line="190" w:after="60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 xml:space="preserve">(e.g. 3.1)</w:t>
          </w:r>
          <w:r>
            <w:rPr>
              <w:b/>
              <w:sz w:val="16"/>
              <w:szCs w:val="16"/>
            </w:rPr>
          </w:r>
          <w:r/>
        </w:p>
      </w:tc>
      <w:tc>
        <w:tcPr>
          <w:tcW w:w="120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before="10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Paragraph/ Figure/ Table/</w:t>
          </w:r>
          <w:r/>
        </w:p>
        <w:p>
          <w:pPr>
            <w:pStyle w:val="163"/>
            <w:jc w:val="center"/>
            <w:keepLines/>
            <w:spacing w:lineRule="exact" w:line="190" w:after="60"/>
            <w:rPr>
              <w:b/>
              <w:sz w:val="16"/>
              <w:szCs w:val="16"/>
            </w:rPr>
          </w:pPr>
          <w:r>
            <w:rPr>
              <w:bCs/>
              <w:sz w:val="16"/>
            </w:rPr>
            <w:t xml:space="preserve">(e.g. Table 1)</w:t>
          </w:r>
          <w:r>
            <w:rPr>
              <w:b/>
              <w:sz w:val="16"/>
              <w:szCs w:val="16"/>
            </w:rPr>
          </w:r>
          <w:r/>
        </w:p>
      </w:tc>
      <w:tc>
        <w:tcPr>
          <w:tcW w:w="1115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Type of comment</w:t>
          </w:r>
          <w:r>
            <w:rPr>
              <w:b/>
              <w:bCs/>
              <w:position w:val="6"/>
              <w:sz w:val="12"/>
            </w:rPr>
            <w:t xml:space="preserve">2</w:t>
          </w:r>
          <w:r>
            <w:rPr>
              <w:b/>
              <w:sz w:val="16"/>
            </w:rPr>
          </w:r>
          <w:r/>
        </w:p>
      </w:tc>
      <w:tc>
        <w:tcPr>
          <w:tcW w:w="4177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Comments</w:t>
          </w:r>
          <w:r/>
        </w:p>
      </w:tc>
      <w:tc>
        <w:tcPr>
          <w:tcW w:w="4233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Proposed change</w:t>
          </w:r>
          <w:r/>
        </w:p>
      </w:tc>
      <w:tc>
        <w:tcPr>
          <w:tcW w:w="241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Resolution on each comment received</w:t>
          </w:r>
          <w:r/>
        </w:p>
      </w:tc>
    </w:tr>
  </w:tbl>
  <w:p>
    <w:pPr>
      <w:pStyle w:val="171"/>
      <w:rPr>
        <w:sz w:val="2"/>
      </w:rPr>
    </w:pPr>
    <w:r>
      <w:rPr>
        <w:sz w:val="2"/>
      </w:rPr>
    </w:r>
    <w:r/>
  </w:p>
  <w:p>
    <w:pPr>
      <w:pStyle w:val="171"/>
      <w:spacing w:lineRule="exact" w:line="14"/>
      <w:rPr>
        <w:sz w:val="4"/>
      </w:rPr>
    </w:pPr>
    <w:r>
      <w:rPr>
        <w:sz w:val="4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5840" w:type="dxa"/>
      <w:jc w:val="center"/>
      <w:tblInd w:w="404" w:type="dxa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none" w:color="000000" w:sz="0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8572"/>
      <w:gridCol w:w="2080"/>
      <w:gridCol w:w="5188"/>
    </w:tblGrid>
    <w:tr>
      <w:trPr>
        <w:cantSplit/>
      </w:trPr>
      <w:tc>
        <w:tcPr>
          <w:tcBorders>
            <w:left w:val="none" w:color="000000" w:sz="4" w:space="0"/>
            <w:top w:val="none" w:color="000000" w:sz="4" w:space="0"/>
            <w:right w:val="none" w:color="000000" w:sz="4" w:space="0"/>
            <w:bottom w:val="none" w:color="000000" w:sz="4" w:space="0"/>
          </w:tcBorders>
          <w:tcW w:w="8572" w:type="dxa"/>
          <w:vAlign w:val="top"/>
          <w:textDirection w:val="lrTb"/>
          <w:noWrap w:val="false"/>
        </w:tcPr>
        <w:p>
          <w:pPr>
            <w:pStyle w:val="178"/>
            <w:spacing w:after="60" w:before="60"/>
          </w:pPr>
          <w:r>
            <w:rPr>
              <w:rStyle w:val="181"/>
              <w:b/>
              <w:bCs/>
              <w:color w:val="000000"/>
              <w:sz w:val="22"/>
            </w:rPr>
            <w:t xml:space="preserve">Template for comments and secretariat observations</w:t>
          </w:r>
          <w:r/>
        </w:p>
      </w:tc>
      <w:tc>
        <w:tcPr>
          <w:tcBorders>
            <w:left w:val="single" w:color="000000" w:sz="6" w:space="0"/>
            <w:top w:val="single" w:color="000000" w:sz="6" w:space="0"/>
            <w:bottom w:val="single" w:color="000000" w:sz="6" w:space="0"/>
          </w:tcBorders>
          <w:tcW w:w="2080" w:type="dxa"/>
          <w:vAlign w:val="top"/>
          <w:textDirection w:val="lrTb"/>
          <w:noWrap w:val="false"/>
        </w:tcPr>
        <w:p>
          <w:pPr>
            <w:pStyle w:val="179"/>
            <w:spacing w:after="60" w:before="60"/>
            <w:rPr>
              <w:bCs/>
            </w:rPr>
          </w:pPr>
          <w:r>
            <w:rPr>
              <w:bCs/>
            </w:rPr>
            <w:t xml:space="preserve">Date: </w:t>
          </w:r>
          <w:r/>
        </w:p>
      </w:tc>
      <w:tc>
        <w:tcPr>
          <w:tcBorders>
            <w:top w:val="single" w:color="000000" w:sz="6" w:space="0"/>
            <w:bottom w:val="single" w:color="000000" w:sz="6" w:space="0"/>
          </w:tcBorders>
          <w:tcW w:w="5188" w:type="dxa"/>
          <w:vAlign w:val="top"/>
          <w:textDirection w:val="lrTb"/>
          <w:noWrap w:val="false"/>
        </w:tcPr>
        <w:p>
          <w:pPr>
            <w:pStyle w:val="180"/>
            <w:spacing w:after="60" w:before="60"/>
            <w:rPr>
              <w:bCs/>
            </w:rPr>
          </w:pPr>
          <w:r>
            <w:rPr>
              <w:bCs/>
            </w:rPr>
            <w:t xml:space="preserve">Document:</w:t>
          </w:r>
          <w:r>
            <w:rPr>
              <w:b/>
            </w:rPr>
            <w:t xml:space="preserve"> </w:t>
          </w:r>
          <w:r>
            <w:rPr>
              <w:b/>
              <w:sz w:val="20"/>
            </w:rPr>
            <w:t xml:space="preserve">ISO/</w:t>
          </w:r>
          <w:r>
            <w:rPr>
              <w:bCs/>
            </w:rPr>
          </w:r>
          <w:r/>
        </w:p>
      </w:tc>
    </w:tr>
  </w:tbl>
  <w:p>
    <w:pPr>
      <w:pStyle w:val="171"/>
    </w:pPr>
    <w:r/>
    <w:r/>
  </w:p>
  <w:tbl>
    <w:tblPr>
      <w:tblW w:w="0" w:type="auto"/>
      <w:jc w:val="center"/>
      <w:tblBorders>
        <w:left w:val="single" w:color="000000" w:sz="6" w:space="0"/>
        <w:top w:val="single" w:color="000000" w:sz="6" w:space="0"/>
        <w:right w:val="single" w:color="000000" w:sz="6" w:space="0"/>
        <w:bottom w:val="single" w:color="000000" w:sz="6" w:space="0"/>
        <w:insideV w:val="single" w:color="000000" w:sz="6" w:space="0"/>
        <w:insideH w:val="single" w:color="000000" w:sz="6" w:space="0"/>
      </w:tblBorders>
      <w:tblLayout w:type="fixed"/>
      <w:tblCellMar>
        <w:left w:w="99" w:type="dxa"/>
        <w:top w:w="0" w:type="dxa"/>
        <w:right w:w="99" w:type="dxa"/>
        <w:bottom w:w="0" w:type="dxa"/>
      </w:tblCellMar>
      <w:tblLook w:val="04A0" w:firstRow="1" w:lastRow="0" w:firstColumn="1" w:lastColumn="0" w:noHBand="0" w:noVBand="1"/>
    </w:tblPr>
    <w:tblGrid>
      <w:gridCol w:w="539"/>
      <w:gridCol w:w="1814"/>
      <w:gridCol w:w="1134"/>
      <w:gridCol w:w="709"/>
      <w:gridCol w:w="4394"/>
      <w:gridCol w:w="3828"/>
      <w:gridCol w:w="3459"/>
    </w:tblGrid>
    <w:tr>
      <w:trPr>
        <w:cantSplit/>
      </w:trPr>
      <w:tc>
        <w:tcPr>
          <w:tcW w:w="53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1</w:t>
          </w:r>
          <w:r/>
        </w:p>
      </w:tc>
      <w:tc>
        <w:tcPr>
          <w:tcW w:w="181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2</w:t>
          </w:r>
          <w:r/>
        </w:p>
      </w:tc>
      <w:tc>
        <w:tcPr>
          <w:tcW w:w="113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3</w:t>
          </w:r>
          <w:r/>
        </w:p>
      </w:tc>
      <w:tc>
        <w:tcPr>
          <w:tcW w:w="70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4</w:t>
          </w:r>
          <w:r/>
        </w:p>
      </w:tc>
      <w:tc>
        <w:tcPr>
          <w:tcW w:w="439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5</w:t>
          </w:r>
          <w:r/>
        </w:p>
      </w:tc>
      <w:tc>
        <w:tcPr>
          <w:tcW w:w="3828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6</w:t>
          </w:r>
          <w:r/>
        </w:p>
      </w:tc>
      <w:tc>
        <w:tcPr>
          <w:tcW w:w="345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80" w:after="40" w:before="40"/>
            <w:rPr>
              <w:sz w:val="16"/>
            </w:rPr>
          </w:pPr>
          <w:r>
            <w:rPr>
              <w:sz w:val="16"/>
            </w:rPr>
            <w:t xml:space="preserve">7</w:t>
          </w:r>
          <w:r/>
        </w:p>
      </w:tc>
    </w:tr>
    <w:tr>
      <w:trPr>
        <w:cantSplit/>
      </w:trPr>
      <w:tc>
        <w:tcPr>
          <w:tcW w:w="53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MB</w:t>
          </w:r>
          <w:r>
            <w:rPr>
              <w:b/>
              <w:bCs/>
              <w:position w:val="6"/>
              <w:sz w:val="12"/>
            </w:rPr>
            <w:t xml:space="preserve">1</w:t>
          </w:r>
          <w:r>
            <w:rPr>
              <w:b/>
              <w:sz w:val="16"/>
            </w:rPr>
            <w:br/>
          </w:r>
          <w:r/>
        </w:p>
      </w:tc>
      <w:tc>
        <w:tcPr>
          <w:tcW w:w="181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Claus</w:t>
          </w:r>
          <w:r>
            <w:rPr>
              <w:b/>
              <w:spacing w:val="20"/>
              <w:sz w:val="16"/>
            </w:rPr>
            <w:t xml:space="preserve">e/</w:t>
          </w:r>
          <w:r>
            <w:rPr>
              <w:b/>
              <w:sz w:val="16"/>
            </w:rPr>
            <w:br/>
            <w:t xml:space="preserve">Subclause/</w:t>
            <w:br/>
            <w:t xml:space="preserve">Annex/Figure/Table</w:t>
            <w:br/>
          </w:r>
          <w:r>
            <w:rPr>
              <w:bCs/>
              <w:sz w:val="16"/>
            </w:rPr>
            <w:t xml:space="preserve">(e.g. 3.1, Table 2)</w:t>
          </w:r>
          <w:r>
            <w:rPr>
              <w:b/>
              <w:sz w:val="16"/>
            </w:rPr>
          </w:r>
          <w:r/>
        </w:p>
      </w:tc>
      <w:tc>
        <w:tcPr>
          <w:tcW w:w="113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Paragraph/</w:t>
            <w:br/>
            <w:t xml:space="preserve">List item/</w:t>
            <w:br/>
            <w:t xml:space="preserve">Note/</w:t>
            <w:br/>
          </w:r>
          <w:r>
            <w:rPr>
              <w:bCs/>
              <w:sz w:val="16"/>
            </w:rPr>
            <w:t xml:space="preserve">(e.g. Note 2)</w:t>
          </w:r>
          <w:r>
            <w:rPr>
              <w:b/>
              <w:sz w:val="16"/>
            </w:rPr>
          </w:r>
          <w:r/>
        </w:p>
      </w:tc>
      <w:tc>
        <w:tcPr>
          <w:tcW w:w="70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Type of com-ment</w:t>
          </w:r>
          <w:r>
            <w:rPr>
              <w:b/>
              <w:bCs/>
              <w:position w:val="6"/>
              <w:sz w:val="12"/>
            </w:rPr>
            <w:t xml:space="preserve">2</w:t>
          </w:r>
          <w:r>
            <w:rPr>
              <w:b/>
              <w:sz w:val="16"/>
            </w:rPr>
          </w:r>
          <w:r/>
        </w:p>
      </w:tc>
      <w:tc>
        <w:tcPr>
          <w:tcW w:w="4394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Comment (justification for change)</w:t>
          </w:r>
          <w:r/>
        </w:p>
      </w:tc>
      <w:tc>
        <w:tcPr>
          <w:tcW w:w="3828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Proposed change</w:t>
          </w:r>
          <w:r/>
        </w:p>
      </w:tc>
      <w:tc>
        <w:tcPr>
          <w:tcW w:w="3459" w:type="dxa"/>
          <w:vAlign w:val="top"/>
          <w:textDirection w:val="lrTb"/>
          <w:noWrap w:val="false"/>
        </w:tcPr>
        <w:p>
          <w:pPr>
            <w:pStyle w:val="163"/>
            <w:jc w:val="center"/>
            <w:keepLines/>
            <w:spacing w:lineRule="exact" w:line="190" w:after="60" w:before="100"/>
            <w:rPr>
              <w:b/>
              <w:sz w:val="16"/>
            </w:rPr>
          </w:pPr>
          <w:r>
            <w:rPr>
              <w:b/>
              <w:sz w:val="16"/>
            </w:rPr>
            <w:t xml:space="preserve">Secretariat observations</w:t>
            <w:br/>
          </w:r>
          <w:r>
            <w:rPr>
              <w:bCs/>
              <w:sz w:val="16"/>
            </w:rPr>
            <w:t xml:space="preserve">on each comment submitted</w:t>
          </w:r>
          <w:r>
            <w:rPr>
              <w:b/>
              <w:sz w:val="16"/>
            </w:rPr>
          </w:r>
          <w:r/>
        </w:p>
      </w:tc>
    </w:tr>
  </w:tbl>
  <w:p>
    <w:pPr>
      <w:pStyle w:val="171"/>
      <w:rPr>
        <w:sz w:val="2"/>
      </w:rPr>
    </w:pPr>
    <w:r>
      <w:rPr>
        <w:sz w:val="2"/>
      </w:rPr>
    </w:r>
    <w:r/>
  </w:p>
  <w:p>
    <w:pPr>
      <w:pStyle w:val="171"/>
      <w:rPr>
        <w:sz w:val="2"/>
      </w:rPr>
    </w:pPr>
    <w:r>
      <w:rPr>
        <w:sz w:val="2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[MB] %1"/>
      <w:lvlJc w:val="left"/>
      <w:pPr>
        <w:pStyle w:val="163"/>
        <w:ind w:left="360" w:hanging="359"/>
      </w:pPr>
    </w:lvl>
    <w:lvl w:ilvl="1">
      <w:start w:val="1"/>
      <w:numFmt w:val="lowerLetter"/>
      <w:suff w:val="tab"/>
      <w:lvlText w:val="%2."/>
      <w:lvlJc w:val="left"/>
      <w:pPr>
        <w:pStyle w:val="163"/>
        <w:ind w:left="1080" w:hanging="359"/>
      </w:pPr>
    </w:lvl>
    <w:lvl w:ilvl="2">
      <w:start w:val="1"/>
      <w:numFmt w:val="lowerRoman"/>
      <w:suff w:val="tab"/>
      <w:lvlText w:val="%3."/>
      <w:lvlJc w:val="right"/>
      <w:pPr>
        <w:pStyle w:val="163"/>
        <w:ind w:left="1800" w:hanging="179"/>
      </w:pPr>
    </w:lvl>
    <w:lvl w:ilvl="3">
      <w:start w:val="1"/>
      <w:numFmt w:val="decimal"/>
      <w:suff w:val="tab"/>
      <w:lvlText w:val="%4."/>
      <w:lvlJc w:val="left"/>
      <w:pPr>
        <w:pStyle w:val="163"/>
        <w:ind w:left="2520" w:hanging="359"/>
      </w:pPr>
    </w:lvl>
    <w:lvl w:ilvl="4">
      <w:start w:val="1"/>
      <w:numFmt w:val="lowerLetter"/>
      <w:suff w:val="tab"/>
      <w:lvlText w:val="%5."/>
      <w:lvlJc w:val="left"/>
      <w:pPr>
        <w:pStyle w:val="163"/>
        <w:ind w:left="3240" w:hanging="359"/>
      </w:pPr>
    </w:lvl>
    <w:lvl w:ilvl="5">
      <w:start w:val="1"/>
      <w:numFmt w:val="lowerRoman"/>
      <w:suff w:val="tab"/>
      <w:lvlText w:val="%6."/>
      <w:lvlJc w:val="right"/>
      <w:pPr>
        <w:pStyle w:val="163"/>
        <w:ind w:left="3960" w:hanging="179"/>
      </w:pPr>
    </w:lvl>
    <w:lvl w:ilvl="6">
      <w:start w:val="1"/>
      <w:numFmt w:val="decimal"/>
      <w:suff w:val="tab"/>
      <w:lvlText w:val="%7."/>
      <w:lvlJc w:val="left"/>
      <w:pPr>
        <w:pStyle w:val="163"/>
        <w:ind w:left="4680" w:hanging="359"/>
      </w:pPr>
    </w:lvl>
    <w:lvl w:ilvl="7">
      <w:start w:val="1"/>
      <w:numFmt w:val="lowerLetter"/>
      <w:suff w:val="tab"/>
      <w:lvlText w:val="%8."/>
      <w:lvlJc w:val="left"/>
      <w:pPr>
        <w:pStyle w:val="163"/>
        <w:ind w:left="5400" w:hanging="359"/>
      </w:pPr>
    </w:lvl>
    <w:lvl w:ilvl="8">
      <w:start w:val="1"/>
      <w:numFmt w:val="lowerRoman"/>
      <w:suff w:val="tab"/>
      <w:lvlText w:val="%9."/>
      <w:lvlJc w:val="right"/>
      <w:pPr>
        <w:pStyle w:val="163"/>
        <w:ind w:left="6120" w:hanging="179"/>
      </w:pPr>
    </w:lvl>
  </w:abstractNum>
  <w:abstractNum w:abstractNumId="1">
    <w:multiLevelType w:val="hybridMultilevel"/>
    <w:lvl w:ilvl="0">
      <w:start w:val="1"/>
      <w:numFmt w:val="decimal"/>
      <w:suff w:val="tab"/>
      <w:lvlText w:val="[MB] exp%1"/>
      <w:lvlJc w:val="left"/>
      <w:pPr>
        <w:pStyle w:val="163"/>
        <w:ind w:left="360" w:hanging="359"/>
      </w:pPr>
    </w:lvl>
    <w:lvl w:ilvl="1">
      <w:start w:val="1"/>
      <w:numFmt w:val="lowerLetter"/>
      <w:suff w:val="tab"/>
      <w:lvlText w:val="%2."/>
      <w:lvlJc w:val="left"/>
      <w:pPr>
        <w:pStyle w:val="163"/>
        <w:ind w:left="1080" w:hanging="359"/>
      </w:pPr>
    </w:lvl>
    <w:lvl w:ilvl="2">
      <w:start w:val="1"/>
      <w:numFmt w:val="lowerRoman"/>
      <w:suff w:val="tab"/>
      <w:lvlText w:val="%3."/>
      <w:lvlJc w:val="right"/>
      <w:pPr>
        <w:pStyle w:val="163"/>
        <w:ind w:left="1800" w:hanging="179"/>
      </w:pPr>
    </w:lvl>
    <w:lvl w:ilvl="3">
      <w:start w:val="1"/>
      <w:numFmt w:val="decimal"/>
      <w:suff w:val="tab"/>
      <w:lvlText w:val="%4."/>
      <w:lvlJc w:val="left"/>
      <w:pPr>
        <w:pStyle w:val="163"/>
        <w:ind w:left="2520" w:hanging="359"/>
      </w:pPr>
    </w:lvl>
    <w:lvl w:ilvl="4">
      <w:start w:val="1"/>
      <w:numFmt w:val="lowerLetter"/>
      <w:suff w:val="tab"/>
      <w:lvlText w:val="%5."/>
      <w:lvlJc w:val="left"/>
      <w:pPr>
        <w:pStyle w:val="163"/>
        <w:ind w:left="3240" w:hanging="359"/>
      </w:pPr>
    </w:lvl>
    <w:lvl w:ilvl="5">
      <w:start w:val="1"/>
      <w:numFmt w:val="lowerRoman"/>
      <w:suff w:val="tab"/>
      <w:lvlText w:val="%6."/>
      <w:lvlJc w:val="right"/>
      <w:pPr>
        <w:pStyle w:val="163"/>
        <w:ind w:left="3960" w:hanging="179"/>
      </w:pPr>
    </w:lvl>
    <w:lvl w:ilvl="6">
      <w:start w:val="1"/>
      <w:numFmt w:val="decimal"/>
      <w:suff w:val="tab"/>
      <w:lvlText w:val="%7."/>
      <w:lvlJc w:val="left"/>
      <w:pPr>
        <w:pStyle w:val="163"/>
        <w:ind w:left="4680" w:hanging="359"/>
      </w:pPr>
    </w:lvl>
    <w:lvl w:ilvl="7">
      <w:start w:val="1"/>
      <w:numFmt w:val="lowerLetter"/>
      <w:suff w:val="tab"/>
      <w:lvlText w:val="%8."/>
      <w:lvlJc w:val="left"/>
      <w:pPr>
        <w:pStyle w:val="163"/>
        <w:ind w:left="5400" w:hanging="359"/>
      </w:pPr>
    </w:lvl>
    <w:lvl w:ilvl="8">
      <w:start w:val="1"/>
      <w:numFmt w:val="lowerRoman"/>
      <w:suff w:val="tab"/>
      <w:lvlText w:val="%9."/>
      <w:lvlJc w:val="right"/>
      <w:pPr>
        <w:pStyle w:val="163"/>
        <w:ind w:left="6120" w:hanging="179"/>
      </w:p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720" w:hanging="359"/>
      </w:pPr>
      <w:rPr>
        <w:rFonts w:ascii="Symbol" w:hAnsi="Symbol" w:cs="Symbol" w:eastAsia="Symbol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851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ＭＳ 明朝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table" w:styleId="44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8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9"/>
    <w:uiPriority w:val="99"/>
    <w:unhideWhenUsed/>
    <w:rPr>
      <w:vertAlign w:val="superscript"/>
    </w:rPr>
  </w:style>
  <w:style w:type="paragraph" w:styleId="70">
    <w:name w:val="toc 1"/>
    <w:basedOn w:val="8"/>
    <w:next w:val="8"/>
    <w:uiPriority w:val="39"/>
    <w:unhideWhenUsed/>
    <w:pPr>
      <w:ind w:left="0" w:right="0" w:hanging="0"/>
      <w:spacing w:after="57"/>
    </w:pPr>
  </w:style>
  <w:style w:type="paragraph" w:styleId="71">
    <w:name w:val="toc 2"/>
    <w:basedOn w:val="8"/>
    <w:next w:val="8"/>
    <w:uiPriority w:val="39"/>
    <w:unhideWhenUsed/>
    <w:pPr>
      <w:ind w:left="283" w:right="0" w:hanging="0"/>
      <w:spacing w:after="57"/>
    </w:pPr>
  </w:style>
  <w:style w:type="paragraph" w:styleId="72">
    <w:name w:val="toc 3"/>
    <w:basedOn w:val="8"/>
    <w:next w:val="8"/>
    <w:uiPriority w:val="39"/>
    <w:unhideWhenUsed/>
    <w:pPr>
      <w:ind w:left="567" w:right="0" w:hanging="0"/>
      <w:spacing w:after="57"/>
    </w:pPr>
  </w:style>
  <w:style w:type="paragraph" w:styleId="73">
    <w:name w:val="toc 4"/>
    <w:basedOn w:val="8"/>
    <w:next w:val="8"/>
    <w:uiPriority w:val="39"/>
    <w:unhideWhenUsed/>
    <w:pPr>
      <w:ind w:left="850" w:right="0" w:hanging="0"/>
      <w:spacing w:after="57"/>
    </w:pPr>
  </w:style>
  <w:style w:type="paragraph" w:styleId="74">
    <w:name w:val="toc 5"/>
    <w:basedOn w:val="8"/>
    <w:next w:val="8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8"/>
    <w:next w:val="8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8"/>
    <w:next w:val="8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8"/>
    <w:next w:val="8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8"/>
    <w:next w:val="8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63">
    <w:name w:val="標準"/>
    <w:next w:val="163"/>
    <w:link w:val="163"/>
    <w:rPr>
      <w:rFonts w:ascii="Arial" w:hAnsi="Arial"/>
      <w:sz w:val="22"/>
      <w:lang w:val="en-GB" w:bidi="ar-SA" w:eastAsia="en-US"/>
    </w:rPr>
    <w:pPr>
      <w:jc w:val="both"/>
    </w:pPr>
  </w:style>
  <w:style w:type="paragraph" w:styleId="164">
    <w:name w:val="見出し 1"/>
    <w:basedOn w:val="163"/>
    <w:next w:val="163"/>
    <w:link w:val="163"/>
    <w:rPr>
      <w:b/>
      <w:sz w:val="24"/>
    </w:rPr>
    <w:pPr>
      <w:keepNext/>
      <w:spacing w:after="200" w:before="120"/>
      <w:outlineLvl w:val="0"/>
    </w:pPr>
  </w:style>
  <w:style w:type="paragraph" w:styleId="165">
    <w:name w:val="見出し 2"/>
    <w:basedOn w:val="164"/>
    <w:next w:val="163"/>
    <w:link w:val="163"/>
    <w:rPr>
      <w:sz w:val="22"/>
    </w:rPr>
    <w:pPr>
      <w:ind w:left="567" w:hanging="566"/>
      <w:spacing w:before="0"/>
      <w:outlineLvl w:val="1"/>
    </w:pPr>
  </w:style>
  <w:style w:type="paragraph" w:styleId="166">
    <w:name w:val="見出し 3"/>
    <w:basedOn w:val="165"/>
    <w:next w:val="163"/>
    <w:link w:val="163"/>
    <w:rPr>
      <w:b w:val="false"/>
    </w:rPr>
    <w:pPr>
      <w:outlineLvl w:val="2"/>
    </w:pPr>
  </w:style>
  <w:style w:type="paragraph" w:styleId="167">
    <w:name w:val="見出し 4"/>
    <w:basedOn w:val="166"/>
    <w:next w:val="163"/>
    <w:link w:val="163"/>
    <w:pPr>
      <w:outlineLvl w:val="3"/>
    </w:pPr>
  </w:style>
  <w:style w:type="character" w:styleId="168">
    <w:name w:val="段落フォント"/>
    <w:next w:val="168"/>
    <w:link w:val="163"/>
    <w:semiHidden/>
  </w:style>
  <w:style w:type="table" w:styleId="169">
    <w:name w:val="標準の表"/>
    <w:next w:val="169"/>
    <w:link w:val="163"/>
    <w:semiHidden/>
    <w:tblPr/>
  </w:style>
  <w:style w:type="numbering" w:styleId="170">
    <w:name w:val="リストなし"/>
    <w:next w:val="170"/>
    <w:link w:val="163"/>
    <w:semiHidden/>
  </w:style>
  <w:style w:type="paragraph" w:styleId="171">
    <w:name w:val="ヘッダー"/>
    <w:basedOn w:val="172"/>
    <w:next w:val="171"/>
    <w:link w:val="163"/>
    <w:semiHidden/>
  </w:style>
  <w:style w:type="paragraph" w:styleId="172">
    <w:name w:val="フッター"/>
    <w:basedOn w:val="163"/>
    <w:next w:val="172"/>
    <w:link w:val="163"/>
    <w:semiHidden/>
    <w:pPr>
      <w:tabs>
        <w:tab w:val="center" w:pos="4820" w:leader="none"/>
        <w:tab w:val="right" w:pos="9639" w:leader="none"/>
      </w:tabs>
    </w:pPr>
  </w:style>
  <w:style w:type="paragraph" w:styleId="173">
    <w:name w:val="ISO_MB"/>
    <w:basedOn w:val="163"/>
    <w:next w:val="173"/>
    <w:link w:val="163"/>
    <w:rPr>
      <w:sz w:val="18"/>
    </w:rPr>
    <w:pPr>
      <w:jc w:val="left"/>
      <w:spacing w:lineRule="exact" w:line="210" w:before="210"/>
    </w:pPr>
  </w:style>
  <w:style w:type="paragraph" w:styleId="174">
    <w:name w:val="ISO_Clause"/>
    <w:basedOn w:val="163"/>
    <w:next w:val="174"/>
    <w:link w:val="163"/>
    <w:rPr>
      <w:sz w:val="18"/>
    </w:rPr>
    <w:pPr>
      <w:jc w:val="left"/>
      <w:spacing w:lineRule="exact" w:line="210" w:before="210"/>
    </w:pPr>
  </w:style>
  <w:style w:type="paragraph" w:styleId="175">
    <w:name w:val="ISO_Paragraph"/>
    <w:basedOn w:val="163"/>
    <w:next w:val="175"/>
    <w:link w:val="163"/>
    <w:rPr>
      <w:sz w:val="18"/>
    </w:rPr>
    <w:pPr>
      <w:jc w:val="left"/>
      <w:spacing w:lineRule="exact" w:line="210" w:before="210"/>
    </w:pPr>
  </w:style>
  <w:style w:type="character" w:styleId="176">
    <w:name w:val="ページ番号"/>
    <w:next w:val="176"/>
    <w:link w:val="163"/>
    <w:semiHidden/>
    <w:rPr>
      <w:sz w:val="20"/>
    </w:rPr>
  </w:style>
  <w:style w:type="paragraph" w:styleId="177">
    <w:name w:val="ISO_Comm_Type"/>
    <w:basedOn w:val="163"/>
    <w:next w:val="177"/>
    <w:link w:val="163"/>
    <w:rPr>
      <w:sz w:val="18"/>
    </w:rPr>
    <w:pPr>
      <w:jc w:val="left"/>
      <w:spacing w:lineRule="exact" w:line="210" w:before="210"/>
    </w:pPr>
  </w:style>
  <w:style w:type="paragraph" w:styleId="178">
    <w:name w:val="ISO_Comments"/>
    <w:basedOn w:val="163"/>
    <w:next w:val="178"/>
    <w:link w:val="163"/>
    <w:rPr>
      <w:sz w:val="18"/>
    </w:rPr>
    <w:pPr>
      <w:jc w:val="left"/>
      <w:spacing w:lineRule="exact" w:line="210" w:before="210"/>
    </w:pPr>
  </w:style>
  <w:style w:type="paragraph" w:styleId="179">
    <w:name w:val="ISO_Change"/>
    <w:basedOn w:val="163"/>
    <w:next w:val="179"/>
    <w:link w:val="163"/>
    <w:rPr>
      <w:sz w:val="18"/>
    </w:rPr>
    <w:pPr>
      <w:jc w:val="left"/>
      <w:spacing w:lineRule="exact" w:line="210" w:before="210"/>
    </w:pPr>
  </w:style>
  <w:style w:type="paragraph" w:styleId="180">
    <w:name w:val="ISO_Secret_Observations"/>
    <w:basedOn w:val="163"/>
    <w:next w:val="180"/>
    <w:link w:val="163"/>
    <w:rPr>
      <w:sz w:val="18"/>
    </w:rPr>
    <w:pPr>
      <w:jc w:val="left"/>
      <w:spacing w:lineRule="exact" w:line="210" w:before="210"/>
    </w:pPr>
  </w:style>
  <w:style w:type="character" w:styleId="181">
    <w:name w:val="MTEquationSection"/>
    <w:next w:val="181"/>
    <w:link w:val="163"/>
    <w:rPr>
      <w:color w:val="FF0000"/>
      <w:sz w:val="16"/>
    </w:rPr>
  </w:style>
  <w:style w:type="paragraph" w:styleId="182">
    <w:name w:val="脚注文字列"/>
    <w:basedOn w:val="163"/>
    <w:next w:val="182"/>
    <w:link w:val="163"/>
    <w:semiHidden/>
    <w:rPr>
      <w:sz w:val="20"/>
    </w:rPr>
  </w:style>
  <w:style w:type="character" w:styleId="183">
    <w:name w:val="脚注参照"/>
    <w:next w:val="183"/>
    <w:link w:val="163"/>
    <w:semiHidden/>
    <w:rPr>
      <w:vertAlign w:val="superscript"/>
    </w:rPr>
  </w:style>
  <w:style w:type="character" w:styleId="184">
    <w:name w:val="mtequationsection"/>
    <w:basedOn w:val="168"/>
    <w:next w:val="184"/>
    <w:link w:val="163"/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ONLYOFFICE/5.2.8.24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